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ECF3FB"/>
  <w:body>
    <w:p>
      <w:pPr>
        <w:spacing w:before="1800"/>
      </w:pPr>
    </w:p>
    <w:p>
      <w:pPr>
        <w:spacing w:after="200" w:before="0"/>
        <w:jc w:val="center"/>
      </w:pPr>
      <w:r>
        <w:rPr>
          <w:rFonts w:ascii="Arial" w:cs="Arial" w:eastAsia="Arial" w:hAnsi="Arial"/>
          <w:b/>
          <w:bCs/>
          <w:color w:val="1B3A6B"/>
          <w:sz w:val="60"/>
          <w:szCs w:val="60"/>
        </w:rPr>
        <w:t xml:space="preserve">ServiceNow GitHub Projects</w:t>
      </w:r>
    </w:p>
    <w:p>
      <w:pPr>
        <w:spacing w:after="140" w:before="0"/>
        <w:jc w:val="center"/>
      </w:pPr>
      <w:r>
        <w:rPr>
          <w:rFonts w:ascii="Arial" w:cs="Arial" w:eastAsia="Arial" w:hAnsi="Arial"/>
          <w:color w:val="0073CF"/>
          <w:sz w:val="34"/>
          <w:szCs w:val="34"/>
        </w:rPr>
        <w:t xml:space="preserve">Technical Reference &amp; Architecture Guide</w:t>
      </w:r>
    </w:p>
    <w:p>
      <w:pPr>
        <w:spacing w:after="80" w:before="0"/>
        <w:jc w:val="center"/>
      </w:pPr>
      <w:r>
        <w:rPr>
          <w:rFonts w:ascii="Arial" w:cs="Arial" w:eastAsia="Arial" w:hAnsi="Arial"/>
          <w:color w:val="4A5568"/>
          <w:sz w:val="22"/>
          <w:szCs w:val="22"/>
        </w:rPr>
        <w:t xml:space="preserve">Prepared for Client Review  ·  April 2026</w:t>
      </w:r>
    </w:p>
    <w:p>
      <w:pPr>
        <w:spacing w:after="80" w:before="0"/>
        <w:jc w:val="center"/>
      </w:pPr>
      <w:r>
        <w:rPr>
          <w:rFonts w:ascii="Arial" w:cs="Arial" w:eastAsia="Arial" w:hAnsi="Arial"/>
          <w:color w:val="4A5568"/>
          <w:sz w:val="22"/>
          <w:szCs w:val="22"/>
        </w:rPr>
        <w:t xml:space="preserve">Platform: ServiceNow Utah+  ·  Language: JavaScript (ES5 / Rhino)</w:t>
      </w:r>
    </w:p>
    <w:p>
      <w:pPr>
        <w:spacing w:before="300"/>
      </w:pPr>
    </w:p>
    <w:p>
      <w:pPr>
        <w:pBdr>
          <w:bottom w:val="single" w:color="0073CF" w:sz="6" w:space="1"/>
        </w:pBdr>
        <w:spacing w:after="180" w:before="180"/>
      </w:pPr>
      <w:r>
        <w:t xml:space="preserve"/>
      </w:r>
    </w:p>
    <w:p>
      <w:r>
        <w:br w:type="page"/>
      </w:r>
    </w:p>
    <w:p>
      <w:pPr>
        <w:spacing w:after="160" w:before="400"/>
      </w:pPr>
      <w:r>
        <w:rPr>
          <w:rFonts w:ascii="Arial" w:cs="Arial" w:eastAsia="Arial" w:hAnsi="Arial"/>
          <w:b/>
          <w:bCs/>
          <w:color w:val="1B3A6B"/>
          <w:sz w:val="38"/>
          <w:szCs w:val="38"/>
        </w:rPr>
        <w:t xml:space="preserve">0. Executive Overview</w:t>
      </w:r>
    </w:p>
    <w:p>
      <w:pPr>
        <w:spacing w:after="120" w:before="60"/>
      </w:pPr>
      <w:r>
        <w:rPr>
          <w:rFonts w:ascii="Arial" w:cs="Arial" w:eastAsia="Arial" w:hAnsi="Arial"/>
          <w:b w:val="false"/>
          <w:bCs w:val="false"/>
          <w:color w:val="1A1A1A"/>
          <w:sz w:val="22"/>
          <w:szCs w:val="22"/>
        </w:rPr>
        <w:t xml:space="preserve">This document provides a comprehensive technical walkthrough of six production-grade ServiceNow scripts published to GitHub. Each module targets a distinct enterprise use-case from intelligent catalog automation to bidirectional ITSM-DevOps integration, all implemented in native ServiceNow JavaScript.</w:t>
      </w:r>
    </w:p>
    <w:p>
      <w:pPr>
        <w:spacing w:after="120" w:before="60"/>
      </w:pPr>
      <w:r>
        <w:rPr>
          <w:rFonts w:ascii="Arial" w:cs="Arial" w:eastAsia="Arial" w:hAnsi="Arial"/>
          <w:b w:val="false"/>
          <w:bCs w:val="false"/>
          <w:color w:val="1A1A1A"/>
          <w:sz w:val="22"/>
          <w:szCs w:val="22"/>
        </w:rPr>
        <w:t xml:space="preserve">Target audience: ServiceNow developer with 4+ years platform experience. Descriptions assume fluency with GlideRecord, Business Rules, Script Includes, Flow Designer, Scoped Applications, and RESTMessageV2.</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Module</w:t>
            </w:r>
          </w:p>
        </w:tc>
        <w:tc>
          <w:tcPr>
            <w:tcW w:type="dxa" w:w="396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Core Responsibility</w:t>
            </w:r>
          </w:p>
        </w:tc>
        <w:tc>
          <w:tcPr>
            <w:tcW w:type="dxa" w:w="28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Key Artefacts</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Automated Catalog Item</w:t>
            </w:r>
          </w:p>
        </w:tc>
        <w:tc>
          <w:tcPr>
            <w:tcW w:type="dxa" w:w="3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Auto-populate, validate &amp; fulfil RITM lifecycle</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Script Include, Client Script, BR, Flow Action</w:t>
            </w:r>
          </w:p>
        </w:tc>
      </w:tr>
      <w:tr>
        <w:tc>
          <w:tcPr>
            <w:tcW w:type="dxa" w:w="26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Flow Designer Workflow</w:t>
            </w:r>
          </w:p>
        </w:tc>
        <w:tc>
          <w:tcPr>
            <w:tcW w:type="dxa" w:w="39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Risk scoring, task generation &amp; CAB governance for CHG</w:t>
            </w:r>
          </w:p>
        </w:tc>
        <w:tc>
          <w:tcPr>
            <w:tcW w:type="dxa" w:w="28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Flow Action, Subflow, Scheduled Job</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Inbound Email to Incident</w:t>
            </w:r>
          </w:p>
        </w:tc>
        <w:tc>
          <w:tcPr>
            <w:tcW w:type="dxa" w:w="3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Intelligent email-to-INC routing with keyword parsing</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Inbound Email Action, BR, Helpers</w:t>
            </w:r>
          </w:p>
        </w:tc>
      </w:tr>
      <w:tr>
        <w:tc>
          <w:tcPr>
            <w:tcW w:type="dxa" w:w="26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SN-JIRA Bidirectional</w:t>
            </w:r>
          </w:p>
        </w:tc>
        <w:tc>
          <w:tcPr>
            <w:tcW w:type="dxa" w:w="39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Live two-way sync between SN ITSM and JIRA DevOps</w:t>
            </w:r>
          </w:p>
        </w:tc>
        <w:tc>
          <w:tcPr>
            <w:tcW w:type="dxa" w:w="28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Script Include, BR, Scripted REST, Webhook</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 Scoped App (ALM)</w:t>
            </w:r>
          </w:p>
        </w:tc>
        <w:tc>
          <w:tcPr>
            <w:tcW w:type="dxa" w:w="3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hardware asset lifecycle management with cost tracking</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Scoped App, REST API, Custom Tables, Client Script</w:t>
            </w:r>
          </w:p>
        </w:tc>
      </w:tr>
      <w:tr>
        <w:tc>
          <w:tcPr>
            <w:tcW w:type="dxa" w:w="26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SN-Spotify Integration</w:t>
            </w:r>
          </w:p>
        </w:tc>
        <w:tc>
          <w:tcPr>
            <w:tcW w:type="dxa" w:w="39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OAuth 2.0 music control tied to on-call incident response</w:t>
            </w:r>
          </w:p>
        </w:tc>
        <w:tc>
          <w:tcPr>
            <w:tcW w:type="dxa" w:w="28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Script Include, BR, OAuth Callback, Catalog Script</w:t>
            </w:r>
          </w:p>
        </w:tc>
      </w:tr>
    </w:tbl>
    <w:p>
      <w:r>
        <w:br w:type="page"/>
      </w:r>
    </w:p>
    <w:p>
      <w:pPr>
        <w:spacing w:after="160" w:before="400"/>
      </w:pPr>
      <w:r>
        <w:rPr>
          <w:rFonts w:ascii="Arial" w:cs="Arial" w:eastAsia="Arial" w:hAnsi="Arial"/>
          <w:b/>
          <w:bCs/>
          <w:color w:val="1B3A6B"/>
          <w:sz w:val="38"/>
          <w:szCs w:val="38"/>
        </w:rPr>
        <w:t xml:space="preserve">1. ServiceNow Platform Primer</w:t>
      </w:r>
    </w:p>
    <w:p>
      <w:pPr>
        <w:spacing w:after="120" w:before="60"/>
      </w:pPr>
      <w:r>
        <w:rPr>
          <w:rFonts w:ascii="Arial" w:cs="Arial" w:eastAsia="Arial" w:hAnsi="Arial"/>
          <w:b w:val="false"/>
          <w:bCs w:val="false"/>
          <w:color w:val="1A1A1A"/>
          <w:sz w:val="22"/>
          <w:szCs w:val="22"/>
        </w:rPr>
        <w:t xml:space="preserve">All six modules run inside the ServiceNow Rhino JavaScript engine (ES5-compatible). They interact with the platform through these core APIs: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API / Class</w:t>
            </w:r>
          </w:p>
        </w:tc>
        <w:tc>
          <w:tcPr>
            <w:tcW w:type="dxa" w:w="696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Role in These Modules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GlideRecord</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ORM-style interface for all table reads, inserts, updates. Every module uses this as its primary data layer.</w:t>
            </w:r>
          </w:p>
        </w:tc>
      </w:tr>
      <w:tr>
        <w:tc>
          <w:tcPr>
            <w:tcW w:type="dxa" w:w="24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GlideAjax</w:t>
            </w:r>
          </w:p>
        </w:tc>
        <w:tc>
          <w:tcPr>
            <w:tcW w:type="dxa" w:w="69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Async bridge: lets client-side scripts call server-side Script Include methods without a page refresh.</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sn_ws.RESTMessageV2</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Outbound HTTP client for JIRA and Spotify API calls. Handles auth headers, request bodies, and response parsing.</w:t>
            </w:r>
          </w:p>
        </w:tc>
      </w:tr>
      <w:tr>
        <w:tc>
          <w:tcPr>
            <w:tcW w:type="dxa" w:w="24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GlideSystem (gs)</w:t>
            </w:r>
          </w:p>
        </w:tc>
        <w:tc>
          <w:tcPr>
            <w:tcW w:type="dxa" w:w="69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Platform utilities: gs.log(), gs.getProperty(), gs.getUser(), gs.eventQueue() for notification events.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GlideDateTime</w:t>
            </w:r>
          </w:p>
        </w:tc>
        <w:tc>
          <w:tcPr>
            <w:tcW w:type="dxa" w:w="69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Date/time arithmetic for SLA calculations, blackout window checks, and lifecycle timestamp stamping.</w:t>
            </w:r>
          </w:p>
        </w:tc>
      </w:tr>
    </w:tbl>
    <w:p>
      <w:pPr>
        <w:spacing w:before="160"/>
      </w:pPr>
    </w:p>
    <w:p>
      <w:pPr>
        <w:spacing w:after="120" w:before="60"/>
      </w:pPr>
      <w:r>
        <w:rPr>
          <w:rFonts w:ascii="Arial" w:cs="Arial" w:eastAsia="Arial" w:hAnsi="Arial"/>
          <w:b w:val="false"/>
          <w:bCs w:val="false"/>
          <w:color w:val="1A1A1A"/>
          <w:sz w:val="22"/>
          <w:szCs w:val="22"/>
        </w:rPr>
        <w:t xml:space="preserve">Execution context awareness underpins every module: Business Rules and Script Includes execute server-side; Client Scripts run in the browser. GlideAjax is the sanctioned communication channel between these two contexts.</w:t>
      </w:r>
    </w:p>
    <w:p>
      <w:r>
        <w:br w:type="page"/>
      </w:r>
    </w:p>
    <w:p>
      <w:pPr>
        <w:spacing w:after="160" w:before="400"/>
      </w:pPr>
      <w:r>
        <w:rPr>
          <w:rFonts w:ascii="Arial" w:cs="Arial" w:eastAsia="Arial" w:hAnsi="Arial"/>
          <w:b/>
          <w:bCs/>
          <w:color w:val="1B3A6B"/>
          <w:sz w:val="38"/>
          <w:szCs w:val="38"/>
        </w:rPr>
        <w:t xml:space="preserve">2. Module 1 — Automated Catalog Item</w:t>
      </w:r>
    </w:p>
    <w:p>
      <w:pPr>
        <w:spacing w:after="120" w:before="60"/>
      </w:pPr>
      <w:r>
        <w:rPr>
          <w:rFonts w:ascii="Arial" w:cs="Arial" w:eastAsia="Arial" w:hAnsi="Arial"/>
          <w:b/>
          <w:bCs/>
          <w:color w:val="1A1A1A"/>
          <w:sz w:val="22"/>
          <w:szCs w:val="22"/>
        </w:rPr>
        <w:t xml:space="preserve">File: Automated Catalog Item.js</w:t>
      </w:r>
    </w:p>
    <w:p>
      <w:pPr>
        <w:pBdr>
          <w:bottom w:val="single" w:color="0073CF" w:sz="6" w:space="1"/>
        </w:pBdr>
        <w:spacing w:after="180" w:before="180"/>
      </w:pPr>
      <w:r>
        <w:t xml:space="preserve"/>
      </w:r>
    </w:p>
    <w:p>
      <w:pPr>
        <w:spacing w:after="120" w:before="280"/>
      </w:pPr>
      <w:r>
        <w:rPr>
          <w:rFonts w:ascii="Arial" w:cs="Arial" w:eastAsia="Arial" w:hAnsi="Arial"/>
          <w:b/>
          <w:bCs/>
          <w:color w:val="0073CF"/>
          <w:sz w:val="28"/>
          <w:szCs w:val="28"/>
        </w:rPr>
        <w:t xml:space="preserve">2.1  Problem Statement</w:t>
      </w:r>
    </w:p>
    <w:p>
      <w:pPr>
        <w:spacing w:after="120" w:before="60"/>
      </w:pPr>
      <w:r>
        <w:rPr>
          <w:rFonts w:ascii="Arial" w:cs="Arial" w:eastAsia="Arial" w:hAnsi="Arial"/>
          <w:b w:val="false"/>
          <w:bCs w:val="false"/>
          <w:color w:val="1A1A1A"/>
          <w:sz w:val="22"/>
          <w:szCs w:val="22"/>
        </w:rPr>
        <w:t xml:space="preserve">Standard catalog item forms force employees to re-enter data already stored in sys_user (department, cost centre, location, manager). Manual entry produces inconsistent RITMs and slows throughput. Out-of-the-box catalog configurations also lack a guard against duplicate active requests for the same item.</w:t>
      </w:r>
    </w:p>
    <w:p>
      <w:pPr>
        <w:spacing w:after="120" w:before="280"/>
      </w:pPr>
      <w:r>
        <w:rPr>
          <w:rFonts w:ascii="Arial" w:cs="Arial" w:eastAsia="Arial" w:hAnsi="Arial"/>
          <w:b/>
          <w:bCs/>
          <w:color w:val="0073CF"/>
          <w:sz w:val="28"/>
          <w:szCs w:val="28"/>
        </w:rPr>
        <w:t xml:space="preserve">2.2  End-to-End Flow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bCs/>
                <w:color w:val="1B3A6B"/>
                <w:sz w:val="21"/>
                <w:szCs w:val="21"/>
              </w:rPr>
              <w:t xml:space="preserve">Employee opens Catalog Item request form in Service Portal</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onLoad() Client Script fires -&gt; GlideAjax call to CatalogItemUtils.populateUserDefaults()</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Server queries sys_user -&gt; returns dept / location / cost_centre / manager / email / phone</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Client callback sets g_form fields -- employee sees pre-populated form instantly</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Employee changes quantity -&gt; onChange() Client Script enforces range [1-50]</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Employee submits -&gt; Business Rule queries for duplicate active RITM before insert</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If no duplicate: Flow Designer Approval step triggers</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On Approval: Flow Action creates RITM, resolves fulfilment group, calculates SLA due date</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Notification event fires -- requester receives confirmation email with RITM number</w:t>
            </w:r>
          </w:p>
        </w:tc>
      </w:tr>
    </w:tbl>
    <w:p>
      <w:pPr>
        <w:spacing w:before="160"/>
      </w:pPr>
    </w:p>
    <w:p>
      <w:pPr>
        <w:spacing w:after="120" w:before="280"/>
      </w:pPr>
      <w:r>
        <w:rPr>
          <w:rFonts w:ascii="Arial" w:cs="Arial" w:eastAsia="Arial" w:hAnsi="Arial"/>
          <w:b/>
          <w:bCs/>
          <w:color w:val="0073CF"/>
          <w:sz w:val="28"/>
          <w:szCs w:val="28"/>
        </w:rPr>
        <w:t xml:space="preserve">2.3  Component Deep-Dive</w:t>
      </w:r>
    </w:p>
    <w:p>
      <w:pPr>
        <w:spacing w:after="100" w:before="200"/>
      </w:pPr>
      <w:r>
        <w:rPr>
          <w:rFonts w:ascii="Arial" w:cs="Arial" w:eastAsia="Arial" w:hAnsi="Arial"/>
          <w:b/>
          <w:bCs/>
          <w:color w:val="1B3A6B"/>
          <w:sz w:val="24"/>
          <w:szCs w:val="24"/>
        </w:rPr>
        <w:t xml:space="preserve">CatalogItemUtils -- Script Include</w:t>
      </w:r>
    </w:p>
    <w:p>
      <w:pPr>
        <w:spacing w:after="120" w:before="60"/>
      </w:pPr>
      <w:r>
        <w:rPr>
          <w:rFonts w:ascii="Arial" w:cs="Arial" w:eastAsia="Arial" w:hAnsi="Arial"/>
          <w:b w:val="false"/>
          <w:bCs w:val="false"/>
          <w:color w:val="1A1A1A"/>
          <w:sz w:val="22"/>
          <w:szCs w:val="22"/>
        </w:rPr>
        <w:t xml:space="preserve">Type: extends AbstractAjaxProcessor. This inheritance exposes all methods to GlideAjax without requiring a separate REST endpoint.</w:t>
      </w:r>
    </w:p>
    <w:p>
      <w:pPr>
        <w:spacing w:after="40" w:before="100"/>
      </w:pPr>
      <w:r>
        <w:rPr>
          <w:rFonts w:ascii="Arial" w:cs="Arial" w:eastAsia="Arial" w:hAnsi="Arial"/>
          <w:b/>
          <w:bCs/>
          <w:color w:val="0073CF"/>
          <w:sz w:val="21"/>
          <w:szCs w:val="21"/>
        </w:rPr>
        <w:t xml:space="preserve">populateUserDefaults()</w:t>
      </w:r>
    </w:p>
    <w:p>
      <w:pPr>
        <w:spacing w:after="120" w:before="60"/>
      </w:pPr>
      <w:r>
        <w:rPr>
          <w:rFonts w:ascii="Arial" w:cs="Arial" w:eastAsia="Arial" w:hAnsi="Arial"/>
          <w:b w:val="false"/>
          <w:bCs w:val="false"/>
          <w:color w:val="1A1A1A"/>
          <w:sz w:val="22"/>
          <w:szCs w:val="22"/>
        </w:rPr>
        <w:t xml:space="preserve">Single GlideRecord query on sys_user filtered by current user sys_id. Returns department, location, manager, cost_centre, email, phone. Client callback iterates the result and calls g_form.setValue() for each mapped catalog variable.</w:t>
      </w:r>
    </w:p>
    <w:p>
      <w:pPr>
        <w:spacing w:after="40" w:before="100"/>
      </w:pPr>
      <w:r>
        <w:rPr>
          <w:rFonts w:ascii="Arial" w:cs="Arial" w:eastAsia="Arial" w:hAnsi="Arial"/>
          <w:b/>
          <w:bCs/>
          <w:color w:val="0073CF"/>
          <w:sz w:val="21"/>
          <w:szCs w:val="21"/>
        </w:rPr>
        <w:t xml:space="preserve">validateVariables()</w:t>
      </w:r>
    </w:p>
    <w:p>
      <w:pPr>
        <w:spacing w:after="120" w:before="60"/>
      </w:pPr>
      <w:r>
        <w:rPr>
          <w:rFonts w:ascii="Arial" w:cs="Arial" w:eastAsia="Arial" w:hAnsi="Arial"/>
          <w:b w:val="false"/>
          <w:bCs w:val="false"/>
          <w:color w:val="1A1A1A"/>
          <w:sz w:val="22"/>
          <w:szCs w:val="22"/>
        </w:rPr>
        <w:t xml:space="preserve">Server-side validation invoked pre-submission. Two enforced rules:</w:t>
      </w:r>
    </w:p>
    <w:p>
      <w:pPr>
        <w:pStyle w:val="ListParagraph"/>
        <w:numPr>
          <w:ilvl w:val="0"/>
          <w:numId w:val="2"/>
        </w:numPr>
        <w:spacing w:after="60" w:before="40"/>
      </w:pPr>
      <w:r>
        <w:rPr>
          <w:rFonts w:ascii="Arial" w:cs="Arial" w:eastAsia="Arial" w:hAnsi="Arial"/>
          <w:color w:val="1A1A1A"/>
          <w:sz w:val="21"/>
          <w:szCs w:val="21"/>
        </w:rPr>
        <w:t xml:space="preserve">unit_price &gt; 500 requires a justification field with minimum 20 characters.</w:t>
      </w:r>
    </w:p>
    <w:p>
      <w:pPr>
        <w:pStyle w:val="ListParagraph"/>
        <w:numPr>
          <w:ilvl w:val="0"/>
          <w:numId w:val="2"/>
        </w:numPr>
        <w:spacing w:after="60" w:before="40"/>
      </w:pPr>
      <w:r>
        <w:rPr>
          <w:rFonts w:ascii="Arial" w:cs="Arial" w:eastAsia="Arial" w:hAnsi="Arial"/>
          <w:color w:val="1A1A1A"/>
          <w:sz w:val="21"/>
          <w:szCs w:val="21"/>
        </w:rPr>
        <w:t xml:space="preserve">Quantity must be an integer in [1, 50]. Out-of-range values return a named error.</w:t>
      </w:r>
    </w:p>
    <w:p>
      <w:pPr>
        <w:pStyle w:val="ListParagraph"/>
        <w:numPr>
          <w:ilvl w:val="0"/>
          <w:numId w:val="2"/>
        </w:numPr>
        <w:spacing w:after="60" w:before="40"/>
      </w:pPr>
      <w:r>
        <w:rPr>
          <w:rFonts w:ascii="Arial" w:cs="Arial" w:eastAsia="Arial" w:hAnsi="Arial"/>
          <w:color w:val="1A1A1A"/>
          <w:sz w:val="21"/>
          <w:szCs w:val="21"/>
        </w:rPr>
        <w:t xml:space="preserve">Returns empty array on clean validation; any non-empty array is treated as blocking.</w:t>
      </w:r>
    </w:p>
    <w:p>
      <w:pPr>
        <w:spacing w:after="40" w:before="100"/>
      </w:pPr>
      <w:r>
        <w:rPr>
          <w:rFonts w:ascii="Arial" w:cs="Arial" w:eastAsia="Arial" w:hAnsi="Arial"/>
          <w:b/>
          <w:bCs/>
          <w:color w:val="0073CF"/>
          <w:sz w:val="21"/>
          <w:szCs w:val="21"/>
        </w:rPr>
        <w:t xml:space="preserve">getApprovalPolicy()</w:t>
      </w:r>
    </w:p>
    <w:p>
      <w:pPr>
        <w:spacing w:after="120" w:before="60"/>
      </w:pPr>
      <w:r>
        <w:rPr>
          <w:rFonts w:ascii="Arial" w:cs="Arial" w:eastAsia="Arial" w:hAnsi="Arial"/>
          <w:b w:val="false"/>
          <w:bCs w:val="false"/>
          <w:color w:val="1A1A1A"/>
          <w:sz w:val="22"/>
          <w:szCs w:val="22"/>
        </w:rPr>
        <w:t xml:space="preserve">Reads u_requires_approval, u_approval_group, and u_sla_hours from the catalog item record. Returns a policy object consumed by the downstream Flow Designer action for routing and SLA configuration.</w:t>
      </w:r>
    </w:p>
    <w:p>
      <w:pPr>
        <w:spacing w:after="100" w:before="200"/>
      </w:pPr>
      <w:r>
        <w:rPr>
          <w:rFonts w:ascii="Arial" w:cs="Arial" w:eastAsia="Arial" w:hAnsi="Arial"/>
          <w:b/>
          <w:bCs/>
          <w:color w:val="1B3A6B"/>
          <w:sz w:val="24"/>
          <w:szCs w:val="24"/>
        </w:rPr>
        <w:t xml:space="preserve">Client Scripts -- Browser-Side Guards</w:t>
      </w:r>
    </w:p>
    <w:p>
      <w:pPr>
        <w:pStyle w:val="ListParagraph"/>
        <w:numPr>
          <w:ilvl w:val="0"/>
          <w:numId w:val="2"/>
        </w:numPr>
        <w:spacing w:after="60" w:before="40"/>
      </w:pPr>
      <w:r>
        <w:rPr>
          <w:rFonts w:ascii="Arial" w:cs="Arial" w:eastAsia="Arial" w:hAnsi="Arial"/>
          <w:color w:val="1A1A1A"/>
          <w:sz w:val="21"/>
          <w:szCs w:val="21"/>
        </w:rPr>
        <w:t xml:space="preserve">onLoad auto-populate: GlideAjax call is fire-and-forget with a null-safe callback. If server call fails, form remains functional for manual entry.</w:t>
      </w:r>
    </w:p>
    <w:p>
      <w:pPr>
        <w:pStyle w:val="ListParagraph"/>
        <w:numPr>
          <w:ilvl w:val="0"/>
          <w:numId w:val="2"/>
        </w:numPr>
        <w:spacing w:after="60" w:before="40"/>
      </w:pPr>
      <w:r>
        <w:rPr>
          <w:rFonts w:ascii="Arial" w:cs="Arial" w:eastAsia="Arial" w:hAnsi="Arial"/>
          <w:color w:val="1A1A1A"/>
          <w:sz w:val="21"/>
          <w:szCs w:val="21"/>
        </w:rPr>
        <w:t xml:space="preserve">onChange quantity guard: resets out-of-range values to boundary (1 or 50) and surfaces a non-blocking info message via g_form.addInfoMessage().</w:t>
      </w:r>
    </w:p>
    <w:p>
      <w:pPr>
        <w:spacing w:after="100" w:before="200"/>
      </w:pPr>
      <w:r>
        <w:rPr>
          <w:rFonts w:ascii="Arial" w:cs="Arial" w:eastAsia="Arial" w:hAnsi="Arial"/>
          <w:b/>
          <w:bCs/>
          <w:color w:val="1B3A6B"/>
          <w:sz w:val="24"/>
          <w:szCs w:val="24"/>
        </w:rPr>
        <w:t xml:space="preserve">Flow Designer Action -- Create RITM on Approval</w:t>
      </w:r>
    </w:p>
    <w:p>
      <w:pPr>
        <w:spacing w:after="120" w:before="60"/>
      </w:pPr>
      <w:r>
        <w:rPr>
          <w:rFonts w:ascii="Arial" w:cs="Arial" w:eastAsia="Arial" w:hAnsi="Arial"/>
          <w:b w:val="false"/>
          <w:bCs w:val="false"/>
          <w:color w:val="1A1A1A"/>
          <w:sz w:val="22"/>
          <w:szCs w:val="22"/>
        </w:rPr>
        <w:t xml:space="preserve">Input parameter: sc_req_item sys_id. Steps:</w:t>
      </w:r>
    </w:p>
    <w:p>
      <w:pPr>
        <w:pStyle w:val="ListParagraph"/>
        <w:numPr>
          <w:ilvl w:val="0"/>
          <w:numId w:val="2"/>
        </w:numPr>
        <w:spacing w:after="60" w:before="40"/>
      </w:pPr>
      <w:r>
        <w:rPr>
          <w:rFonts w:ascii="Arial" w:cs="Arial" w:eastAsia="Arial" w:hAnsi="Arial"/>
          <w:color w:val="1A1A1A"/>
          <w:sz w:val="21"/>
          <w:szCs w:val="21"/>
        </w:rPr>
        <w:t xml:space="preserve">Resolves fulfilment group via category-keyed lookup on u_fulfillment_routing.</w:t>
      </w:r>
    </w:p>
    <w:p>
      <w:pPr>
        <w:pStyle w:val="ListParagraph"/>
        <w:numPr>
          <w:ilvl w:val="0"/>
          <w:numId w:val="2"/>
        </w:numPr>
        <w:spacing w:after="60" w:before="40"/>
      </w:pPr>
      <w:r>
        <w:rPr>
          <w:rFonts w:ascii="Arial" w:cs="Arial" w:eastAsia="Arial" w:hAnsi="Arial"/>
          <w:color w:val="1A1A1A"/>
          <w:sz w:val="21"/>
          <w:szCs w:val="21"/>
        </w:rPr>
        <w:t xml:space="preserve">Computes due_date: GlideDateTime.now().addSeconds(u_sla_hours * 3600).</w:t>
      </w:r>
    </w:p>
    <w:p>
      <w:pPr>
        <w:pStyle w:val="ListParagraph"/>
        <w:numPr>
          <w:ilvl w:val="0"/>
          <w:numId w:val="2"/>
        </w:numPr>
        <w:spacing w:after="60" w:before="40"/>
      </w:pPr>
      <w:r>
        <w:rPr>
          <w:rFonts w:ascii="Arial" w:cs="Arial" w:eastAsia="Arial" w:hAnsi="Arial"/>
          <w:color w:val="1A1A1A"/>
          <w:sz w:val="21"/>
          <w:szCs w:val="21"/>
        </w:rPr>
        <w:t xml:space="preserve">Updates RITM state to Work In Progress (3) and writes due_date.</w:t>
      </w:r>
    </w:p>
    <w:p>
      <w:pPr>
        <w:pStyle w:val="ListParagraph"/>
        <w:numPr>
          <w:ilvl w:val="0"/>
          <w:numId w:val="2"/>
        </w:numPr>
        <w:spacing w:after="60" w:before="40"/>
      </w:pPr>
      <w:r>
        <w:rPr>
          <w:rFonts w:ascii="Arial" w:cs="Arial" w:eastAsia="Arial" w:hAnsi="Arial"/>
          <w:color w:val="1A1A1A"/>
          <w:sz w:val="21"/>
          <w:szCs w:val="21"/>
        </w:rPr>
        <w:t xml:space="preserve">Queues notification event catalogitem.approved with requester as target user.</w:t>
      </w:r>
    </w:p>
    <w:p>
      <w:pPr>
        <w:spacing w:after="100" w:before="200"/>
      </w:pPr>
      <w:r>
        <w:rPr>
          <w:rFonts w:ascii="Arial" w:cs="Arial" w:eastAsia="Arial" w:hAnsi="Arial"/>
          <w:b/>
          <w:bCs/>
          <w:color w:val="1B3A6B"/>
          <w:sz w:val="24"/>
          <w:szCs w:val="24"/>
        </w:rPr>
        <w:t xml:space="preserve">Business Rule -- Prevent Duplicate Active Requests</w:t>
      </w:r>
    </w:p>
    <w:p>
      <w:pPr>
        <w:spacing w:after="120" w:before="60"/>
      </w:pPr>
      <w:r>
        <w:rPr>
          <w:rFonts w:ascii="Arial" w:cs="Arial" w:eastAsia="Arial" w:hAnsi="Arial"/>
          <w:b w:val="false"/>
          <w:bCs w:val="false"/>
          <w:color w:val="1A1A1A"/>
          <w:sz w:val="22"/>
          <w:szCs w:val="22"/>
        </w:rPr>
        <w:t xml:space="preserve">Timing: Before Insert on sc_req_item. Queries for existing RITM where cat_item matches, requested_for matches, and state NOT IN (3, 4, 7). On match: current.setAbortAction(true) with a user-facing error message referencing the existing RITM number.</w:t>
      </w:r>
    </w:p>
    <w:p>
      <w:r>
        <w:br w:type="page"/>
      </w:r>
    </w:p>
    <w:p>
      <w:pPr>
        <w:spacing w:after="160" w:before="400"/>
      </w:pPr>
      <w:r>
        <w:rPr>
          <w:rFonts w:ascii="Arial" w:cs="Arial" w:eastAsia="Arial" w:hAnsi="Arial"/>
          <w:b/>
          <w:bCs/>
          <w:color w:val="1B3A6B"/>
          <w:sz w:val="38"/>
          <w:szCs w:val="38"/>
        </w:rPr>
        <w:t xml:space="preserve">3. Module 2 — Automated Workflow by Flow Designer</w:t>
      </w:r>
    </w:p>
    <w:p>
      <w:pPr>
        <w:spacing w:after="120" w:before="60"/>
      </w:pPr>
      <w:r>
        <w:rPr>
          <w:rFonts w:ascii="Arial" w:cs="Arial" w:eastAsia="Arial" w:hAnsi="Arial"/>
          <w:b/>
          <w:bCs/>
          <w:color w:val="1A1A1A"/>
          <w:sz w:val="22"/>
          <w:szCs w:val="22"/>
        </w:rPr>
        <w:t xml:space="preserve">File: Automated Workflow by Flow Designer.js</w:t>
      </w:r>
    </w:p>
    <w:p>
      <w:pPr>
        <w:pBdr>
          <w:bottom w:val="single" w:color="0073CF" w:sz="6" w:space="1"/>
        </w:pBdr>
        <w:spacing w:after="180" w:before="180"/>
      </w:pPr>
      <w:r>
        <w:t xml:space="preserve"/>
      </w:r>
    </w:p>
    <w:p>
      <w:pPr>
        <w:spacing w:after="120" w:before="280"/>
      </w:pPr>
      <w:r>
        <w:rPr>
          <w:rFonts w:ascii="Arial" w:cs="Arial" w:eastAsia="Arial" w:hAnsi="Arial"/>
          <w:b/>
          <w:bCs/>
          <w:color w:val="0073CF"/>
          <w:sz w:val="28"/>
          <w:szCs w:val="28"/>
        </w:rPr>
        <w:t xml:space="preserve">3.1  Problem Statement</w:t>
      </w:r>
    </w:p>
    <w:p>
      <w:pPr>
        <w:spacing w:after="120" w:before="60"/>
      </w:pPr>
      <w:r>
        <w:rPr>
          <w:rFonts w:ascii="Arial" w:cs="Arial" w:eastAsia="Arial" w:hAnsi="Arial"/>
          <w:b w:val="false"/>
          <w:bCs w:val="false"/>
          <w:color w:val="1A1A1A"/>
          <w:sz w:val="22"/>
          <w:szCs w:val="22"/>
        </w:rPr>
        <w:t xml:space="preserve">Change Request governance suffers from three recurring failures: subjective risk assessment leads to inconsistent approvals; task creation is manual and error-prone; and approvers routinely breach SLAs because no system prompts them after 24 hours. Emergency changes need a governed fast-track that bypasses CAB without losing the audit trail.</w:t>
      </w:r>
    </w:p>
    <w:p>
      <w:pPr>
        <w:spacing w:after="120" w:before="280"/>
      </w:pPr>
      <w:r>
        <w:rPr>
          <w:rFonts w:ascii="Arial" w:cs="Arial" w:eastAsia="Arial" w:hAnsi="Arial"/>
          <w:b/>
          <w:bCs/>
          <w:color w:val="0073CF"/>
          <w:sz w:val="28"/>
          <w:szCs w:val="28"/>
        </w:rPr>
        <w:t xml:space="preserve">3.2  Risk Scoring Engine</w:t>
      </w:r>
    </w:p>
    <w:p>
      <w:pPr>
        <w:spacing w:after="120" w:before="60"/>
      </w:pPr>
      <w:r>
        <w:rPr>
          <w:rFonts w:ascii="Arial" w:cs="Arial" w:eastAsia="Arial" w:hAnsi="Arial"/>
          <w:b w:val="false"/>
          <w:bCs w:val="false"/>
          <w:color w:val="1A1A1A"/>
          <w:sz w:val="22"/>
          <w:szCs w:val="22"/>
        </w:rPr>
        <w:t xml:space="preserve">The Evaluate Change Risk flow action computes a composite score from four independent signals: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c>
          <w:tcPr>
            <w:tcW w:type="dxa" w:w="34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Risk Factor</w:t>
            </w:r>
          </w:p>
        </w:tc>
        <w:tc>
          <w:tcPr>
            <w:tcW w:type="dxa" w:w="316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Scoring Formula</w:t>
            </w:r>
          </w:p>
        </w:tc>
        <w:tc>
          <w:tcPr>
            <w:tcW w:type="dxa" w:w="28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Max Points</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Change type</w:t>
            </w:r>
          </w:p>
        </w:tc>
        <w:tc>
          <w:tcPr>
            <w:tcW w:type="dxa" w:w="3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Standard=2, Normal=10, Emergency=20</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w:t>
            </w:r>
          </w:p>
        </w:tc>
      </w:tr>
      <w:tr>
        <w:tc>
          <w:tcPr>
            <w:tcW w:type="dxa" w:w="34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CIs affected</w:t>
            </w:r>
          </w:p>
        </w:tc>
        <w:tc>
          <w:tcPr>
            <w:tcW w:type="dxa" w:w="31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count(cmdb_ci links) x 3</w:t>
            </w:r>
          </w:p>
        </w:tc>
        <w:tc>
          <w:tcPr>
            <w:tcW w:type="dxa" w:w="28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30</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Active blackout window</w:t>
            </w:r>
          </w:p>
        </w:tc>
        <w:tc>
          <w:tcPr>
            <w:tcW w:type="dxa" w:w="3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Flat +25 if any overlap</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25</w:t>
            </w:r>
          </w:p>
        </w:tc>
      </w:tr>
      <w:tr>
        <w:tc>
          <w:tcPr>
            <w:tcW w:type="dxa" w:w="34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Prior failed changes on same CI</w:t>
            </w:r>
          </w:p>
        </w:tc>
        <w:tc>
          <w:tcPr>
            <w:tcW w:type="dxa" w:w="31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count(failed CHGs) x 5</w:t>
            </w:r>
          </w:p>
        </w:tc>
        <w:tc>
          <w:tcPr>
            <w:tcW w:type="dxa" w:w="28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Unbounded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Score Range</w:t>
            </w:r>
          </w:p>
        </w:tc>
        <w:tc>
          <w:tcPr>
            <w:tcW w:type="dxa" w:w="23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Risk Level</w:t>
            </w:r>
          </w:p>
        </w:tc>
        <w:tc>
          <w:tcPr>
            <w:tcW w:type="dxa" w:w="23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Auto-Approve?</w:t>
            </w:r>
          </w:p>
        </w:tc>
        <w:tc>
          <w:tcPr>
            <w:tcW w:type="dxa" w:w="23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CAB Required?</w:t>
            </w:r>
          </w:p>
        </w:tc>
      </w:tr>
      <w:tr>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0 - 15</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(Standard type only)</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16 - 35</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36 - 55</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56+</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Critical</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Yes + Escalation</w:t>
            </w:r>
          </w:p>
        </w:tc>
      </w:tr>
    </w:tbl>
    <w:p>
      <w:pPr>
        <w:spacing w:before="160"/>
      </w:pPr>
    </w:p>
    <w:p>
      <w:pPr>
        <w:spacing w:after="120" w:before="280"/>
      </w:pPr>
      <w:r>
        <w:rPr>
          <w:rFonts w:ascii="Arial" w:cs="Arial" w:eastAsia="Arial" w:hAnsi="Arial"/>
          <w:b/>
          <w:bCs/>
          <w:color w:val="0073CF"/>
          <w:sz w:val="28"/>
          <w:szCs w:val="28"/>
        </w:rPr>
        <w:t xml:space="preserve">3.3  Automated Task Generation</w:t>
      </w:r>
    </w:p>
    <w:p>
      <w:pPr>
        <w:spacing w:after="120" w:before="60"/>
      </w:pPr>
      <w:r>
        <w:rPr>
          <w:rFonts w:ascii="Arial" w:cs="Arial" w:eastAsia="Arial" w:hAnsi="Arial"/>
          <w:b w:val="false"/>
          <w:bCs w:val="false"/>
          <w:color w:val="1A1A1A"/>
          <w:sz w:val="22"/>
          <w:szCs w:val="22"/>
        </w:rPr>
        <w:t xml:space="preserve">Generate Change Tasks creates a sequenced set of ctask records immediately on CHG approval: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w:t>
            </w:r>
          </w:p>
        </w:tc>
        <w:tc>
          <w:tcPr>
            <w:tcW w:type="dxa" w:w="432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Task Name</w:t>
            </w:r>
          </w:p>
        </w:tc>
        <w:tc>
          <w:tcPr>
            <w:tcW w:type="dxa" w:w="36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Default Assignment Group</w:t>
            </w:r>
          </w:p>
        </w:tc>
      </w:tr>
      <w:tr>
        <w:tc>
          <w:tcPr>
            <w:tcW w:type="dxa" w:w="14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432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Pre-Implementation Review</w:t>
            </w:r>
          </w:p>
        </w:tc>
        <w:tc>
          <w:tcPr>
            <w:tcW w:type="dxa" w:w="3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Change Management</w:t>
            </w:r>
          </w:p>
        </w:tc>
      </w:tr>
      <w:tr>
        <w:tc>
          <w:tcPr>
            <w:tcW w:type="dxa" w:w="14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432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Implementation</w:t>
            </w:r>
          </w:p>
        </w:tc>
        <w:tc>
          <w:tcPr>
            <w:tcW w:type="dxa" w:w="36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Infrastructure</w:t>
            </w:r>
          </w:p>
        </w:tc>
      </w:tr>
      <w:tr>
        <w:tc>
          <w:tcPr>
            <w:tcW w:type="dxa" w:w="14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432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Testing &amp; Validation</w:t>
            </w:r>
          </w:p>
        </w:tc>
        <w:tc>
          <w:tcPr>
            <w:tcW w:type="dxa" w:w="3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QA Team</w:t>
            </w:r>
          </w:p>
        </w:tc>
      </w:tr>
      <w:tr>
        <w:tc>
          <w:tcPr>
            <w:tcW w:type="dxa" w:w="14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432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Post-Implementation Review</w:t>
            </w:r>
          </w:p>
        </w:tc>
        <w:tc>
          <w:tcPr>
            <w:tcW w:type="dxa" w:w="36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Change Management</w:t>
            </w:r>
          </w:p>
        </w:tc>
      </w:tr>
      <w:tr>
        <w:tc>
          <w:tcPr>
            <w:tcW w:type="dxa" w:w="14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432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Communication &amp; Closure</w:t>
            </w:r>
          </w:p>
        </w:tc>
        <w:tc>
          <w:tcPr>
            <w:tcW w:type="dxa" w:w="3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Change Management</w:t>
            </w:r>
          </w:p>
        </w:tc>
      </w:tr>
    </w:tbl>
    <w:p>
      <w:pPr>
        <w:spacing w:before="140"/>
      </w:pPr>
    </w:p>
    <w:p>
      <w:pPr>
        <w:spacing w:after="120" w:before="60"/>
      </w:pPr>
      <w:r>
        <w:rPr>
          <w:rFonts w:ascii="Arial" w:cs="Arial" w:eastAsia="Arial" w:hAnsi="Arial"/>
          <w:b w:val="false"/>
          <w:bCs w:val="false"/>
          <w:color w:val="1A1A1A"/>
          <w:sz w:val="22"/>
          <w:szCs w:val="22"/>
        </w:rPr>
        <w:t xml:space="preserve">If a template_id is supplied as a flow input, tasks are loaded from that template instead of defaults -- enabling custom task sets per change category without code changes.</w:t>
      </w:r>
    </w:p>
    <w:p>
      <w:pPr>
        <w:spacing w:after="120" w:before="280"/>
      </w:pPr>
      <w:r>
        <w:rPr>
          <w:rFonts w:ascii="Arial" w:cs="Arial" w:eastAsia="Arial" w:hAnsi="Arial"/>
          <w:b/>
          <w:bCs/>
          <w:color w:val="0073CF"/>
          <w:sz w:val="28"/>
          <w:szCs w:val="28"/>
        </w:rPr>
        <w:t xml:space="preserve">3.4  Emergency Change Fast-Track (Subflow)</w:t>
      </w:r>
    </w:p>
    <w:p>
      <w:pPr>
        <w:spacing w:after="120" w:before="60"/>
      </w:pPr>
      <w:r>
        <w:rPr>
          <w:rFonts w:ascii="Arial" w:cs="Arial" w:eastAsia="Arial" w:hAnsi="Arial"/>
          <w:b w:val="false"/>
          <w:bCs w:val="false"/>
          <w:color w:val="1A1A1A"/>
          <w:sz w:val="22"/>
          <w:szCs w:val="22"/>
        </w:rPr>
        <w:t xml:space="preserve">Eligibility: change_type = Emergency AND priority IN (1-Critical, 2-High). When eligible:</w:t>
      </w:r>
    </w:p>
    <w:p>
      <w:pPr>
        <w:pStyle w:val="ListParagraph"/>
        <w:numPr>
          <w:ilvl w:val="0"/>
          <w:numId w:val="2"/>
        </w:numPr>
        <w:spacing w:after="60" w:before="40"/>
      </w:pPr>
      <w:r>
        <w:rPr>
          <w:rFonts w:ascii="Arial" w:cs="Arial" w:eastAsia="Arial" w:hAnsi="Arial"/>
          <w:color w:val="1A1A1A"/>
          <w:sz w:val="21"/>
          <w:szCs w:val="21"/>
        </w:rPr>
        <w:t xml:space="preserve">Change state advanced to Approved instantly -- no CAB queue delay.</w:t>
      </w:r>
    </w:p>
    <w:p>
      <w:pPr>
        <w:pStyle w:val="ListParagraph"/>
        <w:numPr>
          <w:ilvl w:val="0"/>
          <w:numId w:val="2"/>
        </w:numPr>
        <w:spacing w:after="60" w:before="40"/>
      </w:pPr>
      <w:r>
        <w:rPr>
          <w:rFonts w:ascii="Arial" w:cs="Arial" w:eastAsia="Arial" w:hAnsi="Arial"/>
          <w:color w:val="1A1A1A"/>
          <w:sz w:val="21"/>
          <w:szCs w:val="21"/>
        </w:rPr>
        <w:t xml:space="preserve">Work note stamped on CHG record explaining bypass, including evaluating user and UTC timestamp.</w:t>
      </w:r>
    </w:p>
    <w:p>
      <w:pPr>
        <w:pStyle w:val="ListParagraph"/>
        <w:numPr>
          <w:ilvl w:val="0"/>
          <w:numId w:val="2"/>
        </w:numPr>
        <w:spacing w:after="60" w:before="40"/>
      </w:pPr>
      <w:r>
        <w:rPr>
          <w:rFonts w:ascii="Arial" w:cs="Arial" w:eastAsia="Arial" w:hAnsi="Arial"/>
          <w:color w:val="1A1A1A"/>
          <w:sz w:val="21"/>
          <w:szCs w:val="21"/>
        </w:rPr>
        <w:t xml:space="preserve">CAB waiver logged in dedicated audit table for post-incident review.</w:t>
      </w:r>
    </w:p>
    <w:p>
      <w:pPr>
        <w:pStyle w:val="ListParagraph"/>
        <w:numPr>
          <w:ilvl w:val="0"/>
          <w:numId w:val="2"/>
        </w:numPr>
        <w:spacing w:after="60" w:before="40"/>
      </w:pPr>
      <w:r>
        <w:rPr>
          <w:rFonts w:ascii="Arial" w:cs="Arial" w:eastAsia="Arial" w:hAnsi="Arial"/>
          <w:color w:val="1A1A1A"/>
          <w:sz w:val="21"/>
          <w:szCs w:val="21"/>
        </w:rPr>
        <w:t xml:space="preserve">Change Management group receives notification event for situational awareness.</w:t>
      </w:r>
    </w:p>
    <w:p>
      <w:pPr>
        <w:spacing w:after="120" w:before="280"/>
      </w:pPr>
      <w:r>
        <w:rPr>
          <w:rFonts w:ascii="Arial" w:cs="Arial" w:eastAsia="Arial" w:hAnsi="Arial"/>
          <w:b/>
          <w:bCs/>
          <w:color w:val="0073CF"/>
          <w:sz w:val="28"/>
          <w:szCs w:val="28"/>
        </w:rPr>
        <w:t xml:space="preserve">3.5  Daily Approval Digest (Scheduled Job)</w:t>
      </w:r>
    </w:p>
    <w:p>
      <w:pPr>
        <w:spacing w:after="120" w:before="60"/>
      </w:pPr>
      <w:r>
        <w:rPr>
          <w:rFonts w:ascii="Arial" w:cs="Arial" w:eastAsia="Arial" w:hAnsi="Arial"/>
          <w:b w:val="false"/>
          <w:bCs w:val="false"/>
          <w:color w:val="1A1A1A"/>
          <w:sz w:val="22"/>
          <w:szCs w:val="22"/>
        </w:rPr>
        <w:t xml:space="preserve">Runs every day at 08:00. Finds all CHG approval records in Requested state where sys_created_on &gt; 24 hours ago. Groups by approver and sends one digest email per approver listing all overdue items with risk level and due date. Eliminates the silent SLA breach pattern.</w:t>
      </w:r>
    </w:p>
    <w:p>
      <w:r>
        <w:br w:type="page"/>
      </w:r>
    </w:p>
    <w:p>
      <w:pPr>
        <w:spacing w:after="160" w:before="400"/>
      </w:pPr>
      <w:r>
        <w:rPr>
          <w:rFonts w:ascii="Arial" w:cs="Arial" w:eastAsia="Arial" w:hAnsi="Arial"/>
          <w:b/>
          <w:bCs/>
          <w:color w:val="1B3A6B"/>
          <w:sz w:val="38"/>
          <w:szCs w:val="38"/>
        </w:rPr>
        <w:t xml:space="preserve">4. Module 3 — Incident Generation from Inbound Email</w:t>
      </w:r>
    </w:p>
    <w:p>
      <w:pPr>
        <w:spacing w:after="120" w:before="60"/>
      </w:pPr>
      <w:r>
        <w:rPr>
          <w:rFonts w:ascii="Arial" w:cs="Arial" w:eastAsia="Arial" w:hAnsi="Arial"/>
          <w:b/>
          <w:bCs/>
          <w:color w:val="1A1A1A"/>
          <w:sz w:val="22"/>
          <w:szCs w:val="22"/>
        </w:rPr>
        <w:t xml:space="preserve">File: Incident Generation from Inbound Email Action.js</w:t>
      </w:r>
    </w:p>
    <w:p>
      <w:pPr>
        <w:pBdr>
          <w:bottom w:val="single" w:color="0073CF" w:sz="6" w:space="1"/>
        </w:pBdr>
        <w:spacing w:after="180" w:before="180"/>
      </w:pPr>
      <w:r>
        <w:t xml:space="preserve"/>
      </w:r>
    </w:p>
    <w:p>
      <w:pPr>
        <w:spacing w:after="120" w:before="280"/>
      </w:pPr>
      <w:r>
        <w:rPr>
          <w:rFonts w:ascii="Arial" w:cs="Arial" w:eastAsia="Arial" w:hAnsi="Arial"/>
          <w:b/>
          <w:bCs/>
          <w:color w:val="0073CF"/>
          <w:sz w:val="28"/>
          <w:szCs w:val="28"/>
        </w:rPr>
        <w:t xml:space="preserve">4.1  Problem Statement</w:t>
      </w:r>
    </w:p>
    <w:p>
      <w:pPr>
        <w:spacing w:after="120" w:before="60"/>
      </w:pPr>
      <w:r>
        <w:rPr>
          <w:rFonts w:ascii="Arial" w:cs="Arial" w:eastAsia="Arial" w:hAnsi="Arial"/>
          <w:b w:val="false"/>
          <w:bCs w:val="false"/>
          <w:color w:val="1A1A1A"/>
          <w:sz w:val="22"/>
          <w:szCs w:val="22"/>
        </w:rPr>
        <w:t xml:space="preserve">Helpdesk staff manually triage emails and log incidents, introducing latency and inconsistency. Reply emails to existing incidents frequently create duplicate records rather than updating the open INC.</w:t>
      </w:r>
    </w:p>
    <w:p>
      <w:pPr>
        <w:spacing w:after="120" w:before="280"/>
      </w:pPr>
      <w:r>
        <w:rPr>
          <w:rFonts w:ascii="Arial" w:cs="Arial" w:eastAsia="Arial" w:hAnsi="Arial"/>
          <w:b/>
          <w:bCs/>
          <w:color w:val="0073CF"/>
          <w:sz w:val="28"/>
          <w:szCs w:val="28"/>
        </w:rPr>
        <w:t xml:space="preserve">4.2  Processing Flow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bCs/>
                <w:color w:val="1B3A6B"/>
                <w:sz w:val="21"/>
                <w:szCs w:val="21"/>
              </w:rPr>
              <w:t xml:space="preserve">Email arrives at helpdesk@company.com</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ServiceNow Inbound Email Action triggers -- script receives email object</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findExistingIncident(): scan subject for INC pattern OR match thread ID</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MATCH FOUND -&gt; appendEmailToIncident(): add as work note, reopen if Resolved/Closed</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NO MATCH -&gt; Create new Incident record</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inferCategory(): keyword scan -&gt; assign category + subcategory</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inferPriority(): VIP check + urgency keywords -&gt; set impact + urgency</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getAssignmentGroup(): map category to responsible team</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Business Rule auto-acknowledge: send confirmation email with INC number to caller</w:t>
            </w:r>
          </w:p>
        </w:tc>
      </w:tr>
    </w:tbl>
    <w:p>
      <w:pPr>
        <w:spacing w:before="160"/>
      </w:pPr>
    </w:p>
    <w:p>
      <w:pPr>
        <w:spacing w:after="120" w:before="280"/>
      </w:pPr>
      <w:r>
        <w:rPr>
          <w:rFonts w:ascii="Arial" w:cs="Arial" w:eastAsia="Arial" w:hAnsi="Arial"/>
          <w:b/>
          <w:bCs/>
          <w:color w:val="0073CF"/>
          <w:sz w:val="28"/>
          <w:szCs w:val="28"/>
        </w:rPr>
        <w:t xml:space="preserve">4.3  Keyword Intelligence Tables</w:t>
      </w:r>
    </w:p>
    <w:p>
      <w:pPr>
        <w:spacing w:after="100" w:before="200"/>
      </w:pPr>
      <w:r>
        <w:rPr>
          <w:rFonts w:ascii="Arial" w:cs="Arial" w:eastAsia="Arial" w:hAnsi="Arial"/>
          <w:b/>
          <w:bCs/>
          <w:color w:val="1B3A6B"/>
          <w:sz w:val="24"/>
          <w:szCs w:val="24"/>
        </w:rPr>
        <w:t xml:space="preserve">Category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Keywords Detected</w:t>
            </w:r>
          </w:p>
        </w:tc>
        <w:tc>
          <w:tcPr>
            <w:tcW w:type="dxa" w:w="23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Category</w:t>
            </w:r>
          </w:p>
        </w:tc>
        <w:tc>
          <w:tcPr>
            <w:tcW w:type="dxa" w:w="23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Subcategory</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vpn, tunnel, remote access</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Network</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VPN</w:t>
            </w:r>
          </w:p>
        </w:tc>
      </w:tr>
      <w:tr>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internet, wifi, lan</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Network</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Connectivity</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laptop, screen, keyboard</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Hardware</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Laptop</w:t>
            </w:r>
          </w:p>
        </w:tc>
      </w:tr>
      <w:tr>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printer, scanner, toner</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Hardware</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Printer</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outlook, email, mailbox</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Software</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w:t>
            </w:r>
          </w:p>
        </w:tc>
      </w:tr>
      <w:tr>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password, locked, login</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Access</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Password</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crash, error, not working</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Application</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Crash</w:t>
            </w:r>
          </w:p>
        </w:tc>
      </w:tr>
      <w:tr>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slow, timeout, database</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Database</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Performance</w:t>
            </w:r>
          </w:p>
        </w:tc>
      </w:tr>
    </w:tbl>
    <w:p>
      <w:pPr>
        <w:spacing w:before="140"/>
      </w:pPr>
    </w:p>
    <w:p>
      <w:pPr>
        <w:spacing w:after="100" w:before="200"/>
      </w:pPr>
      <w:r>
        <w:rPr>
          <w:rFonts w:ascii="Arial" w:cs="Arial" w:eastAsia="Arial" w:hAnsi="Arial"/>
          <w:b/>
          <w:bCs/>
          <w:color w:val="1B3A6B"/>
          <w:sz w:val="24"/>
          <w:szCs w:val="24"/>
        </w:rPr>
        <w:t xml:space="preserve">Priority Inference &amp; Assignment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Trigger</w:t>
            </w:r>
          </w:p>
        </w:tc>
        <w:tc>
          <w:tcPr>
            <w:tcW w:type="dxa" w:w="46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Effect</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Caller is VIP in sys_user</w:t>
            </w:r>
          </w:p>
        </w:tc>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impact = 1 (High) -- overrides all other signals</w:t>
            </w:r>
          </w:p>
        </w:tc>
      </w:tr>
      <w:tr>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urgent / critical / outage / down / asap</w:t>
            </w:r>
          </w:p>
        </w:tc>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urgency = 1 (Critical)</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issue / problem / slow / error</w:t>
            </w:r>
          </w:p>
        </w:tc>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urgency = 2 (Medium)</w:t>
            </w:r>
          </w:p>
        </w:tc>
      </w:tr>
      <w:tr>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all users / production / entire team</w:t>
            </w:r>
          </w:p>
        </w:tc>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impact = 1 (High)</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Resolved Category</w:t>
            </w:r>
          </w:p>
        </w:tc>
        <w:tc>
          <w:tcPr>
            <w:tcW w:type="dxa" w:w="46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Assignment Group</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Network</w:t>
            </w:r>
          </w:p>
        </w:tc>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Network Operations</w:t>
            </w:r>
          </w:p>
        </w:tc>
      </w:tr>
      <w:tr>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Hardware</w:t>
            </w:r>
          </w:p>
        </w:tc>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Desktop Support</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Software</w:t>
            </w:r>
          </w:p>
        </w:tc>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Service Desk</w:t>
            </w:r>
          </w:p>
        </w:tc>
      </w:tr>
      <w:tr>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Access</w:t>
            </w:r>
          </w:p>
        </w:tc>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Identity &amp; Access Management</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Database</w:t>
            </w:r>
          </w:p>
        </w:tc>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Database Administration</w:t>
            </w:r>
          </w:p>
        </w:tc>
      </w:tr>
      <w:tr>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Application</w:t>
            </w:r>
          </w:p>
        </w:tc>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Application Support</w:t>
            </w:r>
          </w:p>
        </w:tc>
      </w:tr>
    </w:tbl>
    <w:p>
      <w:pPr>
        <w:spacing w:before="140"/>
      </w:pPr>
    </w:p>
    <w:p>
      <w:pPr>
        <w:spacing w:after="120" w:before="60"/>
      </w:pPr>
      <w:r>
        <w:rPr>
          <w:rFonts w:ascii="Arial" w:cs="Arial" w:eastAsia="Arial" w:hAnsi="Arial"/>
          <w:b w:val="false"/>
          <w:bCs w:val="false"/>
          <w:color w:val="1A1A1A"/>
          <w:sz w:val="22"/>
          <w:szCs w:val="22"/>
        </w:rPr>
        <w:t xml:space="preserve">Business Rule Auto-Acknowledge: After insert on incident where contact_type = email, fires a notification event sending the caller: INC number, short description, priority, and assigned group name.</w:t>
      </w:r>
    </w:p>
    <w:p>
      <w:r>
        <w:br w:type="page"/>
      </w:r>
    </w:p>
    <w:p>
      <w:pPr>
        <w:spacing w:after="160" w:before="400"/>
      </w:pPr>
      <w:r>
        <w:rPr>
          <w:rFonts w:ascii="Arial" w:cs="Arial" w:eastAsia="Arial" w:hAnsi="Arial"/>
          <w:b/>
          <w:bCs/>
          <w:color w:val="1B3A6B"/>
          <w:sz w:val="38"/>
          <w:szCs w:val="38"/>
        </w:rPr>
        <w:t xml:space="preserve">5. Module 4 — ServiceNow ↔ JIRA Bidirectional Integration</w:t>
      </w:r>
    </w:p>
    <w:p>
      <w:pPr>
        <w:spacing w:after="120" w:before="60"/>
      </w:pPr>
      <w:r>
        <w:rPr>
          <w:rFonts w:ascii="Arial" w:cs="Arial" w:eastAsia="Arial" w:hAnsi="Arial"/>
          <w:b/>
          <w:bCs/>
          <w:color w:val="1A1A1A"/>
          <w:sz w:val="22"/>
          <w:szCs w:val="22"/>
        </w:rPr>
        <w:t xml:space="preserve">File: ServiceNow Bidirectional Integration with JIRA.js</w:t>
      </w:r>
    </w:p>
    <w:p>
      <w:pPr>
        <w:pBdr>
          <w:bottom w:val="single" w:color="0073CF" w:sz="6" w:space="1"/>
        </w:pBdr>
        <w:spacing w:after="180" w:before="180"/>
      </w:pPr>
      <w:r>
        <w:t xml:space="preserve"/>
      </w:r>
    </w:p>
    <w:p>
      <w:pPr>
        <w:spacing w:after="120" w:before="280"/>
      </w:pPr>
      <w:r>
        <w:rPr>
          <w:rFonts w:ascii="Arial" w:cs="Arial" w:eastAsia="Arial" w:hAnsi="Arial"/>
          <w:b/>
          <w:bCs/>
          <w:color w:val="0073CF"/>
          <w:sz w:val="28"/>
          <w:szCs w:val="28"/>
        </w:rPr>
        <w:t xml:space="preserve">5.1  Problem Statement</w:t>
      </w:r>
    </w:p>
    <w:p>
      <w:pPr>
        <w:spacing w:after="120" w:before="60"/>
      </w:pPr>
      <w:r>
        <w:rPr>
          <w:rFonts w:ascii="Arial" w:cs="Arial" w:eastAsia="Arial" w:hAnsi="Arial"/>
          <w:b w:val="false"/>
          <w:bCs w:val="false"/>
          <w:color w:val="1A1A1A"/>
          <w:sz w:val="22"/>
          <w:szCs w:val="22"/>
        </w:rPr>
        <w:t xml:space="preserve">Organisations running both ServiceNow (ITSM) and JIRA (software development) force staff to maintain parallel tickets manually. This creates synchronisation lag, missed status updates, and duplicated effort. The integration eliminates the manual layer with a live two-way contract between the platforms.</w:t>
      </w:r>
    </w:p>
    <w:p>
      <w:pPr>
        <w:spacing w:after="120" w:before="280"/>
      </w:pPr>
      <w:r>
        <w:rPr>
          <w:rFonts w:ascii="Arial" w:cs="Arial" w:eastAsia="Arial" w:hAnsi="Arial"/>
          <w:b/>
          <w:bCs/>
          <w:color w:val="0073CF"/>
          <w:sz w:val="28"/>
          <w:szCs w:val="28"/>
        </w:rPr>
        <w:t xml:space="preserve">5.2  Sync Architecture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D6E4F7" w:val="clear"/>
            <w:tcMar>
              <w:top w:type="dxa" w:w="140"/>
              <w:left w:type="dxa" w:w="240"/>
              <w:bottom w:type="dxa" w:w="140"/>
              <w:right w:type="dxa" w:w="240"/>
            </w:tcMar>
          </w:tcPr>
          <w:p>
            <w:pPr>
              <w:spacing w:after="80" w:before="40"/>
            </w:pPr>
            <w:r>
              <w:rPr>
                <w:rFonts w:ascii="Arial" w:cs="Arial" w:eastAsia="Arial" w:hAnsi="Arial"/>
                <w:b/>
                <w:bCs/>
                <w:color w:val="1B3A6B"/>
                <w:sz w:val="22"/>
                <w:szCs w:val="22"/>
              </w:rPr>
              <w:t xml:space="preserve">Bidirectional Contract</w:t>
            </w:r>
          </w:p>
          <w:p>
            <w:pPr>
              <w:spacing w:after="40" w:before="40"/>
            </w:pPr>
            <w:r>
              <w:rPr>
                <w:rFonts w:ascii="Arial" w:cs="Arial" w:eastAsia="Arial" w:hAnsi="Arial"/>
                <w:color w:val="1A1A1A"/>
                <w:sz w:val="20"/>
                <w:szCs w:val="20"/>
              </w:rPr>
              <w:t xml:space="preserve">ServiceNow -&gt; JIRA:   Business Rule detects field changes on INC/CHG -&gt; REST call to JIRA API</w:t>
            </w:r>
          </w:p>
          <w:p>
            <w:pPr>
              <w:spacing w:after="40" w:before="40"/>
            </w:pPr>
            <w:r>
              <w:rPr>
                <w:rFonts w:ascii="Arial" w:cs="Arial" w:eastAsia="Arial" w:hAnsi="Arial"/>
                <w:color w:val="1A1A1A"/>
                <w:sz w:val="20"/>
                <w:szCs w:val="20"/>
              </w:rPr>
              <w:t xml:space="preserve">JIRA -&gt; ServiceNow:   JIRA Webhook fires on issue update -&gt; POST to ServiceNow Scripted REST endpoint</w:t>
            </w:r>
          </w:p>
          <w:p>
            <w:pPr>
              <w:spacing w:after="40" w:before="40"/>
            </w:pPr>
            <w:r>
              <w:rPr>
                <w:rFonts w:ascii="Arial" w:cs="Arial" w:eastAsia="Arial" w:hAnsi="Arial"/>
                <w:color w:val="1A1A1A"/>
                <w:sz w:val="20"/>
                <w:szCs w:val="20"/>
              </w:rPr>
              <w:t xml:space="preserve">Loop Guard:           u_jira_sync_in_progress flag prevents JIRA response from re-triggering SN Business Rule</w:t>
            </w:r>
          </w:p>
          <w:p>
            <w:pPr>
              <w:spacing w:after="40" w:before="40"/>
            </w:pPr>
            <w:r>
              <w:rPr>
                <w:rFonts w:ascii="Arial" w:cs="Arial" w:eastAsia="Arial" w:hAnsi="Arial"/>
                <w:color w:val="1A1A1A"/>
                <w:sz w:val="20"/>
                <w:szCs w:val="20"/>
              </w:rPr>
              <w:t xml:space="preserve">Fields Synced:        Priority, state/status, short_description/summary, work notes/comments -- all bidirectional</w:t>
            </w:r>
          </w:p>
        </w:tc>
      </w:tr>
    </w:tbl>
    <w:p>
      <w:pPr>
        <w:spacing w:before="160"/>
      </w:pPr>
    </w:p>
    <w:p>
      <w:pPr>
        <w:spacing w:after="120" w:before="280"/>
      </w:pPr>
      <w:r>
        <w:rPr>
          <w:rFonts w:ascii="Arial" w:cs="Arial" w:eastAsia="Arial" w:hAnsi="Arial"/>
          <w:b/>
          <w:bCs/>
          <w:color w:val="0073CF"/>
          <w:sz w:val="28"/>
          <w:szCs w:val="28"/>
        </w:rPr>
        <w:t xml:space="preserve">5.3  JiraIntegration Script Include</w:t>
      </w:r>
    </w:p>
    <w:p>
      <w:pPr>
        <w:spacing w:after="120" w:before="60"/>
      </w:pPr>
      <w:r>
        <w:rPr>
          <w:rFonts w:ascii="Arial" w:cs="Arial" w:eastAsia="Arial" w:hAnsi="Arial"/>
          <w:b w:val="false"/>
          <w:bCs w:val="false"/>
          <w:color w:val="1A1A1A"/>
          <w:sz w:val="22"/>
          <w:szCs w:val="22"/>
        </w:rPr>
        <w:t xml:space="preserve">Reusable server-side class instantiated by Business Rules and Flow Actions. All HTTP communication routes through sn_ws.RESTMessageV2 with Basic Auth.</w:t>
      </w:r>
    </w:p>
    <w:p>
      <w:pPr>
        <w:spacing w:after="100" w:before="200"/>
      </w:pPr>
      <w:r>
        <w:rPr>
          <w:rFonts w:ascii="Arial" w:cs="Arial" w:eastAsia="Arial" w:hAnsi="Arial"/>
          <w:b/>
          <w:bCs/>
          <w:color w:val="1B3A6B"/>
          <w:sz w:val="24"/>
          <w:szCs w:val="24"/>
        </w:rPr>
        <w:t xml:space="preserve">Key Methods</w:t>
      </w:r>
    </w:p>
    <w:p>
      <w:pPr>
        <w:pStyle w:val="ListParagraph"/>
        <w:numPr>
          <w:ilvl w:val="0"/>
          <w:numId w:val="2"/>
        </w:numPr>
        <w:spacing w:after="60" w:before="40"/>
      </w:pPr>
      <w:r>
        <w:rPr>
          <w:rFonts w:ascii="Arial" w:cs="Arial" w:eastAsia="Arial" w:hAnsi="Arial"/>
          <w:color w:val="1A1A1A"/>
          <w:sz w:val="21"/>
          <w:szCs w:val="21"/>
        </w:rPr>
        <w:t xml:space="preserve">createIssue(snRecord): maps SN fields to JIRA payload. Stores returned JIRA issue key on the SN record as u_jira_issue_key.</w:t>
      </w:r>
    </w:p>
    <w:p>
      <w:pPr>
        <w:pStyle w:val="ListParagraph"/>
        <w:numPr>
          <w:ilvl w:val="0"/>
          <w:numId w:val="2"/>
        </w:numPr>
        <w:spacing w:after="60" w:before="40"/>
      </w:pPr>
      <w:r>
        <w:rPr>
          <w:rFonts w:ascii="Arial" w:cs="Arial" w:eastAsia="Arial" w:hAnsi="Arial"/>
          <w:color w:val="1A1A1A"/>
          <w:sz w:val="21"/>
          <w:szCs w:val="21"/>
        </w:rPr>
        <w:t xml:space="preserve">updateIssue(snRecord): syncs summary, priority, and status to the linked JIRA issue.</w:t>
      </w:r>
    </w:p>
    <w:p>
      <w:pPr>
        <w:pStyle w:val="ListParagraph"/>
        <w:numPr>
          <w:ilvl w:val="0"/>
          <w:numId w:val="2"/>
        </w:numPr>
        <w:spacing w:after="60" w:before="40"/>
      </w:pPr>
      <w:r>
        <w:rPr>
          <w:rFonts w:ascii="Arial" w:cs="Arial" w:eastAsia="Arial" w:hAnsi="Arial"/>
          <w:color w:val="1A1A1A"/>
          <w:sz w:val="21"/>
          <w:szCs w:val="21"/>
        </w:rPr>
        <w:t xml:space="preserve">addComment(issueKey, text): posts SN work note as a JIRA comment.</w:t>
      </w:r>
    </w:p>
    <w:p>
      <w:pPr>
        <w:pStyle w:val="ListParagraph"/>
        <w:numPr>
          <w:ilvl w:val="0"/>
          <w:numId w:val="2"/>
        </w:numPr>
        <w:spacing w:after="60" w:before="40"/>
      </w:pPr>
      <w:r>
        <w:rPr>
          <w:rFonts w:ascii="Arial" w:cs="Arial" w:eastAsia="Arial" w:hAnsi="Arial"/>
          <w:color w:val="1A1A1A"/>
          <w:sz w:val="21"/>
          <w:szCs w:val="21"/>
        </w:rPr>
        <w:t xml:space="preserve">transitionIssue(issueKey, targetStatus): fetches available transitions from JIRA then applies the matching one.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SN Priority</w:t>
            </w:r>
          </w:p>
        </w:tc>
        <w:tc>
          <w:tcPr>
            <w:tcW w:type="dxa" w:w="23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JIRA Priority</w:t>
            </w:r>
          </w:p>
        </w:tc>
        <w:tc>
          <w:tcPr>
            <w:tcW w:type="dxa" w:w="23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SN State</w:t>
            </w:r>
          </w:p>
        </w:tc>
        <w:tc>
          <w:tcPr>
            <w:tcW w:type="dxa" w:w="23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JIRA Status</w:t>
            </w:r>
          </w:p>
        </w:tc>
      </w:tr>
      <w:tr>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1 - Critical</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Highest</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New (1)</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 Do</w:t>
            </w:r>
          </w:p>
        </w:tc>
      </w:tr>
      <w:tr>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2 - High</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In Progress (2,3)</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In Progress</w:t>
            </w:r>
          </w:p>
        </w:tc>
      </w:tr>
      <w:tr>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3 - Medium</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Resolved (6)</w:t>
            </w:r>
          </w:p>
        </w:tc>
        <w:tc>
          <w:tcPr>
            <w:tcW w:type="dxa" w:w="23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Done</w:t>
            </w:r>
          </w:p>
        </w:tc>
      </w:tr>
      <w:tr>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4 - Low</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Closed (7)</w:t>
            </w:r>
          </w:p>
        </w:tc>
        <w:tc>
          <w:tcPr>
            <w:tcW w:type="dxa" w:w="23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Done</w:t>
            </w:r>
          </w:p>
        </w:tc>
      </w:tr>
    </w:tbl>
    <w:p>
      <w:pPr>
        <w:spacing w:before="140"/>
      </w:pPr>
    </w:p>
    <w:p>
      <w:pPr>
        <w:spacing w:after="100" w:before="200"/>
      </w:pPr>
      <w:r>
        <w:rPr>
          <w:rFonts w:ascii="Arial" w:cs="Arial" w:eastAsia="Arial" w:hAnsi="Arial"/>
          <w:b/>
          <w:bCs/>
          <w:color w:val="1B3A6B"/>
          <w:sz w:val="24"/>
          <w:szCs w:val="24"/>
        </w:rPr>
        <w:t xml:space="preserve">JIRA Webhook Receiver -- Scripted REST API</w:t>
      </w:r>
    </w:p>
    <w:p>
      <w:pPr>
        <w:spacing w:after="120" w:before="60"/>
      </w:pPr>
      <w:r>
        <w:rPr>
          <w:rFonts w:ascii="Arial" w:cs="Arial" w:eastAsia="Arial" w:hAnsi="Arial"/>
          <w:b w:val="false"/>
          <w:bCs w:val="false"/>
          <w:color w:val="1A1A1A"/>
          <w:sz w:val="22"/>
          <w:szCs w:val="22"/>
        </w:rPr>
        <w:t xml:space="preserve">Endpoint: POST /api/x_custom/jira/webhook. JIRA posts to this URL on issue_updated and comment_created events. Steps: parse jira_issue_key -&gt; GlideRecord lookup -&gt; sync priority/status back to SN -&gt; add JIRA comments as SN work notes prefixed with [JIRA] -&gt; return HTTP 200.</w:t>
      </w:r>
    </w:p>
    <w:p>
      <w:pPr>
        <w:spacing w:after="100" w:before="200"/>
      </w:pPr>
      <w:r>
        <w:rPr>
          <w:rFonts w:ascii="Arial" w:cs="Arial" w:eastAsia="Arial" w:hAnsi="Arial"/>
          <w:b/>
          <w:bCs/>
          <w:color w:val="1B3A6B"/>
          <w:sz w:val="24"/>
          <w:szCs w:val="24"/>
        </w:rPr>
        <w:t xml:space="preserve">Loop Prevention</w:t>
      </w:r>
    </w:p>
    <w:p>
      <w:pPr>
        <w:spacing w:after="120" w:before="60"/>
      </w:pPr>
      <w:r>
        <w:rPr>
          <w:rFonts w:ascii="Arial" w:cs="Arial" w:eastAsia="Arial" w:hAnsi="Arial"/>
          <w:b w:val="false"/>
          <w:bCs w:val="false"/>
          <w:color w:val="1A1A1A"/>
          <w:sz w:val="22"/>
          <w:szCs w:val="22"/>
        </w:rPr>
        <w:t xml:space="preserve">Business Rule sets u_jira_sync_in_progress = true before calling JIRA. Webhook receiver checks this flag on arrival and skips processing if set, then clears it. This boolean prevents the infinite update loop that is the most common failure mode in bidirectional integrations.</w:t>
      </w:r>
    </w:p>
    <w:p>
      <w:r>
        <w:br w:type="page"/>
      </w:r>
    </w:p>
    <w:p>
      <w:pPr>
        <w:spacing w:after="160" w:before="400"/>
      </w:pPr>
      <w:r>
        <w:rPr>
          <w:rFonts w:ascii="Arial" w:cs="Arial" w:eastAsia="Arial" w:hAnsi="Arial"/>
          <w:b/>
          <w:bCs/>
          <w:color w:val="1B3A6B"/>
          <w:sz w:val="38"/>
          <w:szCs w:val="38"/>
        </w:rPr>
        <w:t xml:space="preserve">6. Module 5 — ServiceNow Custom Scoped Application (Asset Lifecycle Manager)</w:t>
      </w:r>
    </w:p>
    <w:p>
      <w:pPr>
        <w:spacing w:after="120" w:before="60"/>
      </w:pPr>
      <w:r>
        <w:rPr>
          <w:rFonts w:ascii="Arial" w:cs="Arial" w:eastAsia="Arial" w:hAnsi="Arial"/>
          <w:b/>
          <w:bCs/>
          <w:color w:val="1A1A1A"/>
          <w:sz w:val="22"/>
          <w:szCs w:val="22"/>
        </w:rPr>
        <w:t xml:space="preserve">File: ServiceNow Custom Scoped Application.js</w:t>
      </w:r>
    </w:p>
    <w:p>
      <w:pPr>
        <w:pBdr>
          <w:bottom w:val="single" w:color="0073CF" w:sz="6" w:space="1"/>
        </w:pBdr>
        <w:spacing w:after="180" w:before="180"/>
      </w:pPr>
      <w:r>
        <w:t xml:space="preserve"/>
      </w:r>
    </w:p>
    <w:p>
      <w:pPr>
        <w:spacing w:after="120" w:before="280"/>
      </w:pPr>
      <w:r>
        <w:rPr>
          <w:rFonts w:ascii="Arial" w:cs="Arial" w:eastAsia="Arial" w:hAnsi="Arial"/>
          <w:b/>
          <w:bCs/>
          <w:color w:val="0073CF"/>
          <w:sz w:val="28"/>
          <w:szCs w:val="28"/>
        </w:rPr>
        <w:t xml:space="preserve">6.1  Problem Statement</w:t>
      </w:r>
    </w:p>
    <w:p>
      <w:pPr>
        <w:spacing w:after="120" w:before="60"/>
      </w:pPr>
      <w:r>
        <w:rPr>
          <w:rFonts w:ascii="Arial" w:cs="Arial" w:eastAsia="Arial" w:hAnsi="Arial"/>
          <w:b w:val="false"/>
          <w:bCs w:val="false"/>
          <w:color w:val="1A1A1A"/>
          <w:sz w:val="22"/>
          <w:szCs w:val="22"/>
        </w:rPr>
        <w:t xml:space="preserve">Out-of-the-box ServiceNow Asset Management lacks enforced lifecycle state machines, per-asset financial cost tracking, and automated end-of-life retirement. IT teams manage asset transitions informally, producing audit gaps and inaccurate CMDB data.</w:t>
      </w:r>
    </w:p>
    <w:p>
      <w:pPr>
        <w:spacing w:after="120" w:before="280"/>
      </w:pPr>
      <w:r>
        <w:rPr>
          <w:rFonts w:ascii="Arial" w:cs="Arial" w:eastAsia="Arial" w:hAnsi="Arial"/>
          <w:b/>
          <w:bCs/>
          <w:color w:val="0073CF"/>
          <w:sz w:val="28"/>
          <w:szCs w:val="28"/>
        </w:rPr>
        <w:t xml:space="preserve">6.2  Application Identity</w:t>
      </w:r>
    </w:p>
    <w:p>
      <w:pPr>
        <w:spacing w:after="120" w:before="60"/>
      </w:pPr>
      <w:r>
        <w:rPr>
          <w:rFonts w:ascii="Arial" w:cs="Arial" w:eastAsia="Arial" w:hAnsi="Arial"/>
          <w:b w:val="false"/>
          <w:bCs w:val="false"/>
          <w:color w:val="1A1A1A"/>
          <w:sz w:val="22"/>
          <w:szCs w:val="22"/>
        </w:rPr>
        <w:t xml:space="preserve">App scope: x_custom_asset_mgr. This namespace ensures zero collision with platform tables and other installed apps. All custom tables, Script Includes, REST APIs, and Client Scripts operate within this scope.</w:t>
      </w:r>
    </w:p>
    <w:p>
      <w:pPr>
        <w:spacing w:after="120" w:before="280"/>
      </w:pPr>
      <w:r>
        <w:rPr>
          <w:rFonts w:ascii="Arial" w:cs="Arial" w:eastAsia="Arial" w:hAnsi="Arial"/>
          <w:b/>
          <w:bCs/>
          <w:color w:val="0073CF"/>
          <w:sz w:val="28"/>
          <w:szCs w:val="28"/>
        </w:rPr>
        <w:t xml:space="preserve">6.3  Enforced Lifecycle State Machine</w:t>
      </w:r>
    </w:p>
    <w:p>
      <w:pPr>
        <w:spacing w:after="120" w:before="60"/>
      </w:pPr>
      <w:r>
        <w:rPr>
          <w:rFonts w:ascii="Arial" w:cs="Arial" w:eastAsia="Arial" w:hAnsi="Arial"/>
          <w:b w:val="false"/>
          <w:bCs w:val="false"/>
          <w:color w:val="1A1A1A"/>
          <w:sz w:val="22"/>
          <w:szCs w:val="22"/>
        </w:rPr>
        <w:t xml:space="preserve">transitionStage(assetId, newStage, notes) is the single entry point for all asset stage changes. Invalid transitions are rejected with a descriptive error. No UI or API call can skip stages.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Current Stage</w:t>
            </w:r>
          </w:p>
        </w:tc>
        <w:tc>
          <w:tcPr>
            <w:tcW w:type="dxa" w:w="62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Permitted Next Stages</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Requested</w:t>
            </w:r>
          </w:p>
        </w:tc>
        <w:tc>
          <w:tcPr>
            <w:tcW w:type="dxa" w:w="62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Ordered</w:t>
            </w:r>
          </w:p>
        </w:tc>
      </w:tr>
      <w:tr>
        <w:tc>
          <w:tcPr>
            <w:tcW w:type="dxa" w:w="312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Ordered</w:t>
            </w:r>
          </w:p>
        </w:tc>
        <w:tc>
          <w:tcPr>
            <w:tcW w:type="dxa" w:w="62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Received</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Received</w:t>
            </w:r>
          </w:p>
        </w:tc>
        <w:tc>
          <w:tcPr>
            <w:tcW w:type="dxa" w:w="62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 Stock  |  Quarantine</w:t>
            </w:r>
          </w:p>
        </w:tc>
      </w:tr>
      <w:tr>
        <w:tc>
          <w:tcPr>
            <w:tcW w:type="dxa" w:w="312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In Stock</w:t>
            </w:r>
          </w:p>
        </w:tc>
        <w:tc>
          <w:tcPr>
            <w:tcW w:type="dxa" w:w="62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Deployed  |  Retired</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Deployed</w:t>
            </w:r>
          </w:p>
        </w:tc>
        <w:tc>
          <w:tcPr>
            <w:tcW w:type="dxa" w:w="62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 Maintenance  |  Retired  |  In Stock</w:t>
            </w:r>
          </w:p>
        </w:tc>
      </w:tr>
      <w:tr>
        <w:tc>
          <w:tcPr>
            <w:tcW w:type="dxa" w:w="312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In Maintenance</w:t>
            </w:r>
          </w:p>
        </w:tc>
        <w:tc>
          <w:tcPr>
            <w:tcW w:type="dxa" w:w="62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Deployed  |  Retired  |  In Stock</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Quarantine</w:t>
            </w:r>
          </w:p>
        </w:tc>
        <w:tc>
          <w:tcPr>
            <w:tcW w:type="dxa" w:w="62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 Stock  |  Retired</w:t>
            </w:r>
          </w:p>
        </w:tc>
      </w:tr>
      <w:tr>
        <w:tc>
          <w:tcPr>
            <w:tcW w:type="dxa" w:w="312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Retired</w:t>
            </w:r>
          </w:p>
        </w:tc>
        <w:tc>
          <w:tcPr>
            <w:tcW w:type="dxa" w:w="62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TERMINAL -- no further transitions permitted</w:t>
            </w:r>
          </w:p>
        </w:tc>
      </w:tr>
    </w:tbl>
    <w:p>
      <w:pPr>
        <w:spacing w:before="140"/>
      </w:pPr>
    </w:p>
    <w:p>
      <w:pPr>
        <w:spacing w:after="120" w:before="60"/>
      </w:pPr>
      <w:r>
        <w:rPr>
          <w:rFonts w:ascii="Arial" w:cs="Arial" w:eastAsia="Arial" w:hAnsi="Arial"/>
          <w:b w:val="false"/>
          <w:bCs w:val="false"/>
          <w:color w:val="1A1A1A"/>
          <w:sz w:val="22"/>
          <w:szCs w:val="22"/>
        </w:rPr>
        <w:t xml:space="preserve">Every valid transition stamps the appropriate date field (deployed_date, retired_date), clears assigned_to on retirement, and writes an audit log entry to x_custom_asset_mgr_lifecycle_log.</w:t>
      </w:r>
    </w:p>
    <w:p>
      <w:pPr>
        <w:spacing w:after="120" w:before="280"/>
      </w:pPr>
      <w:r>
        <w:rPr>
          <w:rFonts w:ascii="Arial" w:cs="Arial" w:eastAsia="Arial" w:hAnsi="Arial"/>
          <w:b/>
          <w:bCs/>
          <w:color w:val="0073CF"/>
          <w:sz w:val="28"/>
          <w:szCs w:val="28"/>
        </w:rPr>
        <w:t xml:space="preserve">6.4  Cost Tracking</w:t>
      </w:r>
    </w:p>
    <w:p>
      <w:pPr>
        <w:spacing w:after="120" w:before="60"/>
      </w:pPr>
      <w:r>
        <w:rPr>
          <w:rFonts w:ascii="Arial" w:cs="Arial" w:eastAsia="Arial" w:hAnsi="Arial"/>
          <w:b w:val="false"/>
          <w:bCs w:val="false"/>
          <w:color w:val="1A1A1A"/>
          <w:sz w:val="22"/>
          <w:szCs w:val="22"/>
        </w:rPr>
        <w:t xml:space="preserve">recordCost(assetId, costType, amount, currency, description) appends a financial record to x_custom_asset_mgr_cost_entry and recalculates total_cost atomically. Three cost types: purchase (procurement), maintenance (repair/service), disposal (recycling fees). Enables full TCO reporting over the asset's entire lifetime.</w:t>
      </w:r>
    </w:p>
    <w:p>
      <w:pPr>
        <w:spacing w:after="120" w:before="280"/>
      </w:pPr>
      <w:r>
        <w:rPr>
          <w:rFonts w:ascii="Arial" w:cs="Arial" w:eastAsia="Arial" w:hAnsi="Arial"/>
          <w:b/>
          <w:bCs/>
          <w:color w:val="0073CF"/>
          <w:sz w:val="28"/>
          <w:szCs w:val="28"/>
        </w:rPr>
        <w:t xml:space="preserve">6.5  REST API Surface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Method</w:t>
            </w:r>
          </w:p>
        </w:tc>
        <w:tc>
          <w:tcPr>
            <w:tcW w:type="dxa" w:w="28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Endpoint</w:t>
            </w:r>
          </w:p>
        </w:tc>
        <w:tc>
          <w:tcPr>
            <w:tcW w:type="dxa" w:w="50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Purpose</w:t>
            </w:r>
          </w:p>
        </w:tc>
      </w:tr>
      <w:tr>
        <w:tc>
          <w:tcPr>
            <w:tcW w:type="dxa" w:w="14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8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/asset/{asset_tag}</w:t>
            </w:r>
          </w:p>
        </w:tc>
        <w:tc>
          <w:tcPr>
            <w:tcW w:type="dxa" w:w="50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Returns full lifecycle summary: stage history, costs, assignment, all dates.</w:t>
            </w:r>
          </w:p>
        </w:tc>
      </w:tr>
      <w:tr>
        <w:tc>
          <w:tcPr>
            <w:tcW w:type="dxa" w:w="14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8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/asset/{tag}/transition</w:t>
            </w:r>
          </w:p>
        </w:tc>
        <w:tc>
          <w:tcPr>
            <w:tcW w:type="dxa" w:w="50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Triggers stage transition. Body: { stage, notes }. Returns 422 on invalid transition.</w:t>
            </w:r>
          </w:p>
        </w:tc>
      </w:tr>
    </w:tbl>
    <w:p>
      <w:pPr>
        <w:spacing w:before="140"/>
      </w:pPr>
    </w:p>
    <w:p>
      <w:pPr>
        <w:spacing w:after="120" w:before="280"/>
      </w:pPr>
      <w:r>
        <w:rPr>
          <w:rFonts w:ascii="Arial" w:cs="Arial" w:eastAsia="Arial" w:hAnsi="Arial"/>
          <w:b/>
          <w:bCs/>
          <w:color w:val="0073CF"/>
          <w:sz w:val="28"/>
          <w:szCs w:val="28"/>
        </w:rPr>
        <w:t xml:space="preserve">6.6  Client Script -- Retirement Confirmation</w:t>
      </w:r>
    </w:p>
    <w:p>
      <w:pPr>
        <w:spacing w:after="120" w:before="60"/>
      </w:pPr>
      <w:r>
        <w:rPr>
          <w:rFonts w:ascii="Arial" w:cs="Arial" w:eastAsia="Arial" w:hAnsi="Arial"/>
          <w:b w:val="false"/>
          <w:bCs w:val="false"/>
          <w:color w:val="1A1A1A"/>
          <w:sz w:val="22"/>
          <w:szCs w:val="22"/>
        </w:rPr>
        <w:t xml:space="preserve">When an agent sets stage to Retired on screen, a confirmation dialog fires: 'Retiring this asset is irreversible. Continue?' On cancellation the field reverts. On confirmation, retirement_date appears and is auto-populated with today's date via GlideDateTime.</w:t>
      </w:r>
    </w:p>
    <w:p>
      <w:pPr>
        <w:spacing w:after="120" w:before="280"/>
      </w:pPr>
      <w:r>
        <w:rPr>
          <w:rFonts w:ascii="Arial" w:cs="Arial" w:eastAsia="Arial" w:hAnsi="Arial"/>
          <w:b/>
          <w:bCs/>
          <w:color w:val="0073CF"/>
          <w:sz w:val="28"/>
          <w:szCs w:val="28"/>
        </w:rPr>
        <w:t xml:space="preserve">6.7  Automated End-of-Life Retirement (Scheduled Job)</w:t>
      </w:r>
    </w:p>
    <w:p>
      <w:pPr>
        <w:spacing w:after="120" w:before="60"/>
      </w:pPr>
      <w:r>
        <w:rPr>
          <w:rFonts w:ascii="Arial" w:cs="Arial" w:eastAsia="Arial" w:hAnsi="Arial"/>
          <w:b w:val="false"/>
          <w:bCs w:val="false"/>
          <w:color w:val="1A1A1A"/>
          <w:sz w:val="22"/>
          <w:szCs w:val="22"/>
        </w:rPr>
        <w:t xml:space="preserve">Runs daily. Queries all assets in Deployed or In Stock stage where end_of_life_date &lt; NOW(). Each matched asset is passed through transitionStage(..., 'retired', 'Auto-retired: end-of-life date passed'). Logs a summary count for monitoring.</w:t>
      </w:r>
    </w:p>
    <w:p>
      <w:r>
        <w:br w:type="page"/>
      </w:r>
    </w:p>
    <w:p>
      <w:pPr>
        <w:spacing w:after="160" w:before="400"/>
      </w:pPr>
      <w:r>
        <w:rPr>
          <w:rFonts w:ascii="Arial" w:cs="Arial" w:eastAsia="Arial" w:hAnsi="Arial"/>
          <w:b/>
          <w:bCs/>
          <w:color w:val="1B3A6B"/>
          <w:sz w:val="38"/>
          <w:szCs w:val="38"/>
        </w:rPr>
        <w:t xml:space="preserve">7. Module 6 — ServiceNow Integration with Spotify</w:t>
      </w:r>
    </w:p>
    <w:p>
      <w:pPr>
        <w:spacing w:after="120" w:before="60"/>
      </w:pPr>
      <w:r>
        <w:rPr>
          <w:rFonts w:ascii="Arial" w:cs="Arial" w:eastAsia="Arial" w:hAnsi="Arial"/>
          <w:b/>
          <w:bCs/>
          <w:color w:val="1A1A1A"/>
          <w:sz w:val="22"/>
          <w:szCs w:val="22"/>
        </w:rPr>
        <w:t xml:space="preserve">File: ServiceNow Integration with Spotify.js</w:t>
      </w:r>
    </w:p>
    <w:p>
      <w:pPr>
        <w:pBdr>
          <w:bottom w:val="single" w:color="0073CF" w:sz="6" w:space="1"/>
        </w:pBdr>
        <w:spacing w:after="180" w:before="180"/>
      </w:pPr>
      <w:r>
        <w:t xml:space="preserve"/>
      </w:r>
    </w:p>
    <w:p>
      <w:pPr>
        <w:spacing w:after="120" w:before="280"/>
      </w:pPr>
      <w:r>
        <w:rPr>
          <w:rFonts w:ascii="Arial" w:cs="Arial" w:eastAsia="Arial" w:hAnsi="Arial"/>
          <w:b/>
          <w:bCs/>
          <w:color w:val="0073CF"/>
          <w:sz w:val="28"/>
          <w:szCs w:val="28"/>
        </w:rPr>
        <w:t xml:space="preserve">7.1  Business Context</w:t>
      </w:r>
    </w:p>
    <w:p>
      <w:pPr>
        <w:spacing w:after="120" w:before="60"/>
      </w:pPr>
      <w:r>
        <w:rPr>
          <w:rFonts w:ascii="Arial" w:cs="Arial" w:eastAsia="Arial" w:hAnsi="Arial"/>
          <w:b w:val="false"/>
          <w:bCs w:val="false"/>
          <w:color w:val="1A1A1A"/>
          <w:sz w:val="22"/>
          <w:szCs w:val="22"/>
        </w:rPr>
        <w:t xml:space="preserve">On-call IT engineers work late nights handling P1 incidents. Three friction points motivated this integration:</w:t>
      </w:r>
    </w:p>
    <w:p>
      <w:pPr>
        <w:pStyle w:val="ListParagraph"/>
        <w:numPr>
          <w:ilvl w:val="0"/>
          <w:numId w:val="2"/>
        </w:numPr>
        <w:spacing w:after="60" w:before="40"/>
      </w:pPr>
      <w:r>
        <w:rPr>
          <w:rFonts w:ascii="Arial" w:cs="Arial" w:eastAsia="Arial" w:hAnsi="Arial"/>
          <w:color w:val="1A1A1A"/>
          <w:sz w:val="21"/>
          <w:szCs w:val="21"/>
        </w:rPr>
        <w:t xml:space="preserve">Music distraction when a P1 lands -- engineers need to focus immediately.</w:t>
      </w:r>
    </w:p>
    <w:p>
      <w:pPr>
        <w:pStyle w:val="ListParagraph"/>
        <w:numPr>
          <w:ilvl w:val="0"/>
          <w:numId w:val="2"/>
        </w:numPr>
        <w:spacing w:after="60" w:before="40"/>
      </w:pPr>
      <w:r>
        <w:rPr>
          <w:rFonts w:ascii="Arial" w:cs="Arial" w:eastAsia="Arial" w:hAnsi="Arial"/>
          <w:color w:val="1A1A1A"/>
          <w:sz w:val="21"/>
          <w:szCs w:val="21"/>
        </w:rPr>
        <w:t xml:space="preserve">No tooling to support structured focus sessions during long resolution windows.</w:t>
      </w:r>
    </w:p>
    <w:p>
      <w:pPr>
        <w:pStyle w:val="ListParagraph"/>
        <w:numPr>
          <w:ilvl w:val="0"/>
          <w:numId w:val="2"/>
        </w:numPr>
        <w:spacing w:after="60" w:before="40"/>
      </w:pPr>
      <w:r>
        <w:rPr>
          <w:rFonts w:ascii="Arial" w:cs="Arial" w:eastAsia="Arial" w:hAnsi="Arial"/>
          <w:color w:val="1A1A1A"/>
          <w:sz w:val="21"/>
          <w:szCs w:val="21"/>
        </w:rPr>
        <w:t xml:space="preserve">No wellbeing data -- managers cannot see how many focus sessions engineers log.</w:t>
      </w:r>
    </w:p>
    <w:p>
      <w:pPr>
        <w:spacing w:after="120" w:before="280"/>
      </w:pPr>
      <w:r>
        <w:rPr>
          <w:rFonts w:ascii="Arial" w:cs="Arial" w:eastAsia="Arial" w:hAnsi="Arial"/>
          <w:b/>
          <w:bCs/>
          <w:color w:val="0073CF"/>
          <w:sz w:val="28"/>
          <w:szCs w:val="28"/>
        </w:rPr>
        <w:t xml:space="preserve">7.2  OAuth 2.0 Authentication Flow</w:t>
      </w:r>
    </w:p>
    <w:p>
      <w:pPr>
        <w:spacing w:after="120" w:before="60"/>
      </w:pPr>
      <w:r>
        <w:rPr>
          <w:rFonts w:ascii="Arial" w:cs="Arial" w:eastAsia="Arial" w:hAnsi="Arial"/>
          <w:b w:val="false"/>
          <w:bCs w:val="false"/>
          <w:color w:val="1A1A1A"/>
          <w:sz w:val="22"/>
          <w:szCs w:val="22"/>
        </w:rPr>
        <w:t xml:space="preserve">Spotify uses OAuth 2.0 Authorization Code Grant. Each user authorises ServiceNow once. Tokens are stored per user in sys_properties.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bCs/>
                <w:color w:val="1B3A6B"/>
                <w:sz w:val="21"/>
                <w:szCs w:val="21"/>
              </w:rPr>
              <w:t xml:space="preserve">Employee clicks 'Connect Spotify' in their ServiceNow profile</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ServiceNow redirects to Spotify Accounts service with client_id + requested scopes</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Employee approves access on Spotify's login page</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Spotify redirects to ServiceNow callback URL with authorization code</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OAuth Callback Scripted REST API receives code -&gt; exchanges for access_token + refresh_token</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refresh_token stored in sys_properties keyed by user sys_id</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D6E4F7"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All future calls: retrieve refresh_token -&gt; POST to token endpoint -&gt; get fresh access_token</w:t>
            </w:r>
          </w:p>
        </w:tc>
      </w:tr>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tcPr>
          <w:p>
            <w:pPr>
              <w:jc w:val="center"/>
            </w:pPr>
            <w:r>
              <w:rPr>
                <w:rFonts w:ascii="Arial" w:cs="Arial" w:eastAsia="Arial" w:hAnsi="Arial"/>
                <w:b/>
                <w:bCs/>
                <w:color w:val="0073CF"/>
                <w:sz w:val="28"/>
                <w:szCs w:val="28"/>
              </w:rPr>
              <w:t xml:space="preserve">↓</w:t>
            </w:r>
          </w:p>
        </w:tc>
      </w:tr>
      <w:tr>
        <w:tc>
          <w:tcPr>
            <w:tcW w:type="dxa" w:w="9360"/>
            <w:tcBorders>
              <w:top w:val="single" w:color="B0C4DE" w:sz="1"/>
              <w:left w:val="single" w:color="B0C4DE" w:sz="1"/>
              <w:bottom w:val="single" w:color="B0C4DE" w:sz="1"/>
              <w:right w:val="single" w:color="B0C4DE" w:sz="1"/>
            </w:tcBorders>
            <w:shd w:fill="E8F1FA" w:val="clear"/>
            <w:tcMar>
              <w:top w:type="dxa" w:w="100"/>
              <w:left w:type="dxa" w:w="220"/>
              <w:bottom w:type="dxa" w:w="100"/>
              <w:right w:type="dxa" w:w="220"/>
            </w:tcMar>
          </w:tcPr>
          <w:p>
            <w:pPr>
              <w:jc w:val="center"/>
            </w:pPr>
            <w:r>
              <w:rPr>
                <w:rFonts w:ascii="Arial" w:cs="Arial" w:eastAsia="Arial" w:hAnsi="Arial"/>
                <w:b w:val="false"/>
                <w:bCs w:val="false"/>
                <w:color w:val="1B3A6B"/>
                <w:sz w:val="21"/>
                <w:szCs w:val="21"/>
              </w:rPr>
              <w:t xml:space="preserve">access_token cached 55 minutes to minimise token refresh overhead</w:t>
            </w:r>
          </w:p>
        </w:tc>
      </w:tr>
    </w:tbl>
    <w:p>
      <w:pPr>
        <w:spacing w:before="160"/>
      </w:pPr>
    </w:p>
    <w:p>
      <w:pPr>
        <w:spacing w:after="120" w:before="280"/>
      </w:pPr>
      <w:r>
        <w:rPr>
          <w:rFonts w:ascii="Arial" w:cs="Arial" w:eastAsia="Arial" w:hAnsi="Arial"/>
          <w:b/>
          <w:bCs/>
          <w:color w:val="0073CF"/>
          <w:sz w:val="28"/>
          <w:szCs w:val="28"/>
        </w:rPr>
        <w:t xml:space="preserve">7.3  SpotifyIntegration Script Include -- API Methods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Method</w:t>
            </w:r>
          </w:p>
        </w:tc>
        <w:tc>
          <w:tcPr>
            <w:tcW w:type="dxa" w:w="636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Behaviour</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getAppToken()</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App-level token (no user context). Used for public playlist search. Cached 55 min.</w:t>
            </w:r>
          </w:p>
        </w:tc>
      </w:tr>
      <w:tr>
        <w:tc>
          <w:tcPr>
            <w:tcW w:type="dxa" w:w="30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getUserToken(userId)</w:t>
            </w:r>
          </w:p>
        </w:tc>
        <w:tc>
          <w:tcPr>
            <w:tcW w:type="dxa" w:w="63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User-level token via stored refresh token. Auto-saves rotated refresh tokens.</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pausePlayback(userId)</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PUT /me/player/pause -- targets the user's active device.</w:t>
            </w:r>
          </w:p>
        </w:tc>
      </w:tr>
      <w:tr>
        <w:tc>
          <w:tcPr>
            <w:tcW w:type="dxa" w:w="30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resumePlayback(userId)</w:t>
            </w:r>
          </w:p>
        </w:tc>
        <w:tc>
          <w:tcPr>
            <w:tcW w:type="dxa" w:w="63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PUT /me/player/play with no body = resume current context.</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playPlaylist(userId, plId)</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PUT /me/player/play with context_uri = spotify:playlist:{plId}.</w:t>
            </w:r>
          </w:p>
        </w:tc>
      </w:tr>
      <w:tr>
        <w:tc>
          <w:tcPr>
            <w:tcW w:type="dxa" w:w="30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startFocusSession(userId)</w:t>
            </w:r>
          </w:p>
        </w:tc>
        <w:tc>
          <w:tcPr>
            <w:tcW w:type="dxa" w:w="63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Plays configured focus playlist. Logs focus_start entry in wellbeing table.</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endFocusSession(userId)</w:t>
            </w:r>
          </w:p>
        </w:tc>
        <w:tc>
          <w:tcPr>
            <w:tcW w:type="dxa" w:w="63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Pauses playback. Logs focus_end entry. Duration auto-calculated.</w:t>
            </w:r>
          </w:p>
        </w:tc>
      </w:tr>
      <w:tr>
        <w:tc>
          <w:tcPr>
            <w:tcW w:type="dxa" w:w="30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searchPlaylists(q, limit)</w:t>
            </w:r>
          </w:p>
        </w:tc>
        <w:tc>
          <w:tcPr>
            <w:tcW w:type="dxa" w:w="63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GET /search?type=playlist. Returns id, name, description, track count, URL.</w:t>
            </w:r>
          </w:p>
        </w:tc>
      </w:tr>
    </w:tbl>
    <w:p>
      <w:pPr>
        <w:spacing w:before="160"/>
      </w:pPr>
    </w:p>
    <w:p>
      <w:pPr>
        <w:spacing w:after="120" w:before="280"/>
      </w:pPr>
      <w:r>
        <w:rPr>
          <w:rFonts w:ascii="Arial" w:cs="Arial" w:eastAsia="Arial" w:hAnsi="Arial"/>
          <w:b/>
          <w:bCs/>
          <w:color w:val="0073CF"/>
          <w:sz w:val="28"/>
          <w:szCs w:val="28"/>
        </w:rPr>
        <w:t xml:space="preserve">7.4  Auto-Pause on P1 Incident -- Business Rule</w:t>
      </w:r>
    </w:p>
    <w:p>
      <w:pPr>
        <w:spacing w:after="120" w:before="60"/>
      </w:pPr>
      <w:r>
        <w:rPr>
          <w:rFonts w:ascii="Arial" w:cs="Arial" w:eastAsia="Arial" w:hAnsi="Arial"/>
          <w:b w:val="false"/>
          <w:bCs w:val="false"/>
          <w:color w:val="1A1A1A"/>
          <w:sz w:val="22"/>
          <w:szCs w:val="22"/>
        </w:rPr>
        <w:t xml:space="preserve">Timing: After Insert on incident where priority = 1 (Critical). The rule:</w:t>
      </w:r>
    </w:p>
    <w:p>
      <w:pPr>
        <w:pStyle w:val="ListParagraph"/>
        <w:numPr>
          <w:ilvl w:val="0"/>
          <w:numId w:val="2"/>
        </w:numPr>
        <w:spacing w:after="60" w:before="40"/>
      </w:pPr>
      <w:r>
        <w:rPr>
          <w:rFonts w:ascii="Arial" w:cs="Arial" w:eastAsia="Arial" w:hAnsi="Arial"/>
          <w:color w:val="1A1A1A"/>
          <w:sz w:val="21"/>
          <w:szCs w:val="21"/>
        </w:rPr>
        <w:t xml:space="preserve">Fetches all members of the incident assignment group via sys_user_grmember.</w:t>
      </w:r>
    </w:p>
    <w:p>
      <w:pPr>
        <w:pStyle w:val="ListParagraph"/>
        <w:numPr>
          <w:ilvl w:val="0"/>
          <w:numId w:val="2"/>
        </w:numPr>
        <w:spacing w:after="60" w:before="40"/>
      </w:pPr>
      <w:r>
        <w:rPr>
          <w:rFonts w:ascii="Arial" w:cs="Arial" w:eastAsia="Arial" w:hAnsi="Arial"/>
          <w:color w:val="1A1A1A"/>
          <w:sz w:val="21"/>
          <w:szCs w:val="21"/>
        </w:rPr>
        <w:t xml:space="preserve">For each member, checks sys_properties for a stored Spotify refresh token.</w:t>
      </w:r>
    </w:p>
    <w:p>
      <w:pPr>
        <w:pStyle w:val="ListParagraph"/>
        <w:numPr>
          <w:ilvl w:val="0"/>
          <w:numId w:val="2"/>
        </w:numPr>
        <w:spacing w:after="60" w:before="40"/>
      </w:pPr>
      <w:r>
        <w:rPr>
          <w:rFonts w:ascii="Arial" w:cs="Arial" w:eastAsia="Arial" w:hAnsi="Arial"/>
          <w:color w:val="1A1A1A"/>
          <w:sz w:val="21"/>
          <w:szCs w:val="21"/>
        </w:rPr>
        <w:t xml:space="preserve">Calls pausePlayback(userId) for every linked member.</w:t>
      </w:r>
    </w:p>
    <w:p>
      <w:pPr>
        <w:pStyle w:val="ListParagraph"/>
        <w:numPr>
          <w:ilvl w:val="0"/>
          <w:numId w:val="2"/>
        </w:numPr>
        <w:spacing w:after="60" w:before="40"/>
      </w:pPr>
      <w:r>
        <w:rPr>
          <w:rFonts w:ascii="Arial" w:cs="Arial" w:eastAsia="Arial" w:hAnsi="Arial"/>
          <w:color w:val="1A1A1A"/>
          <w:sz w:val="21"/>
          <w:szCs w:val="21"/>
        </w:rPr>
        <w:t xml:space="preserve">Logs each pause action with the incident number for audit trail.</w:t>
      </w:r>
    </w:p>
    <w:p>
      <w:pPr>
        <w:spacing w:after="120" w:before="60"/>
      </w:pPr>
      <w:r>
        <w:rPr>
          <w:rFonts w:ascii="Arial" w:cs="Arial" w:eastAsia="Arial" w:hAnsi="Arial"/>
          <w:b w:val="false"/>
          <w:bCs w:val="false"/>
          <w:color w:val="1A1A1A"/>
          <w:sz w:val="22"/>
          <w:szCs w:val="22"/>
        </w:rPr>
        <w:t xml:space="preserve">Design note: If pausePlayback fails for a user (e.g. Spotify not active), the rule catches the error and continues to the next member rather than aborting.</w:t>
      </w:r>
    </w:p>
    <w:p>
      <w:pPr>
        <w:spacing w:after="120" w:before="280"/>
      </w:pPr>
      <w:r>
        <w:rPr>
          <w:rFonts w:ascii="Arial" w:cs="Arial" w:eastAsia="Arial" w:hAnsi="Arial"/>
          <w:b/>
          <w:bCs/>
          <w:color w:val="0073CF"/>
          <w:sz w:val="28"/>
          <w:szCs w:val="28"/>
        </w:rPr>
        <w:t xml:space="preserve">7.5  Mood-Based Playlist Request -- Catalog Item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Mood Selected</w:t>
            </w:r>
          </w:p>
        </w:tc>
        <w:tc>
          <w:tcPr>
            <w:tcW w:type="dxa" w:w="62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Spotify Search Query</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Focus</w:t>
            </w:r>
          </w:p>
        </w:tc>
        <w:tc>
          <w:tcPr>
            <w:tcW w:type="dxa" w:w="62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deep work focus instrumental</w:t>
            </w:r>
          </w:p>
        </w:tc>
      </w:tr>
      <w:tr>
        <w:tc>
          <w:tcPr>
            <w:tcW w:type="dxa" w:w="312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Energize</w:t>
            </w:r>
          </w:p>
        </w:tc>
        <w:tc>
          <w:tcPr>
            <w:tcW w:type="dxa" w:w="624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high energy workout pump up</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Calm</w:t>
            </w:r>
          </w:p>
        </w:tc>
        <w:tc>
          <w:tcPr>
            <w:tcW w:type="dxa" w:w="62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chill lofi calm relaxing</w:t>
            </w:r>
          </w:p>
        </w:tc>
      </w:tr>
    </w:tbl>
    <w:p>
      <w:pPr>
        <w:spacing w:before="140"/>
      </w:pPr>
    </w:p>
    <w:p>
      <w:pPr>
        <w:spacing w:after="120" w:before="60"/>
      </w:pPr>
      <w:r>
        <w:rPr>
          <w:rFonts w:ascii="Arial" w:cs="Arial" w:eastAsia="Arial" w:hAnsi="Arial"/>
          <w:b w:val="false"/>
          <w:bCs w:val="false"/>
          <w:color w:val="1A1A1A"/>
          <w:sz w:val="22"/>
          <w:szCs w:val="22"/>
        </w:rPr>
        <w:t xml:space="preserve">searchPlaylists() returns the top result, passed to playPlaylist(). RITM closes automatically with playlist name and URL in resolution notes.</w:t>
      </w:r>
    </w:p>
    <w:p>
      <w:pPr>
        <w:spacing w:after="120" w:before="280"/>
      </w:pPr>
      <w:r>
        <w:rPr>
          <w:rFonts w:ascii="Arial" w:cs="Arial" w:eastAsia="Arial" w:hAnsi="Arial"/>
          <w:b/>
          <w:bCs/>
          <w:color w:val="0073CF"/>
          <w:sz w:val="28"/>
          <w:szCs w:val="28"/>
        </w:rPr>
        <w:t xml:space="preserve">7.6  Required Spotify OAuth Scopes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Scope</w:t>
            </w:r>
          </w:p>
        </w:tc>
        <w:tc>
          <w:tcPr>
            <w:tcW w:type="dxa" w:w="46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Why Required</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user-read-playback-state</w:t>
            </w:r>
          </w:p>
        </w:tc>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Determine which device is active before issuing commands</w:t>
            </w:r>
          </w:p>
        </w:tc>
      </w:tr>
      <w:tr>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user-modify-playback-state</w:t>
            </w:r>
          </w:p>
        </w:tc>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Pause, resume, and play operations</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user-read-currently-playing</w:t>
            </w:r>
          </w:p>
        </w:tc>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Read current track for logging and focus session metadata</w:t>
            </w:r>
          </w:p>
        </w:tc>
      </w:tr>
      <w:tr>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playlist-modify-private</w:t>
            </w:r>
          </w:p>
        </w:tc>
        <w:tc>
          <w:tcPr>
            <w:tcW w:type="dxa" w:w="46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Create private playlists in user accounts</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playlist-read-private</w:t>
            </w:r>
          </w:p>
        </w:tc>
        <w:tc>
          <w:tcPr>
            <w:tcW w:type="dxa" w:w="4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Access user's existing private playlists</w:t>
            </w:r>
          </w:p>
        </w:tc>
      </w:tr>
    </w:tbl>
    <w:p>
      <w:r>
        <w:br w:type="page"/>
      </w:r>
    </w:p>
    <w:p>
      <w:pPr>
        <w:spacing w:after="160" w:before="400"/>
      </w:pPr>
      <w:r>
        <w:rPr>
          <w:rFonts w:ascii="Arial" w:cs="Arial" w:eastAsia="Arial" w:hAnsi="Arial"/>
          <w:b/>
          <w:bCs/>
          <w:color w:val="1B3A6B"/>
          <w:sz w:val="38"/>
          <w:szCs w:val="38"/>
        </w:rPr>
        <w:t xml:space="preserve">8. System Configuration Reference</w:t>
      </w:r>
    </w:p>
    <w:p>
      <w:pPr>
        <w:pBdr>
          <w:bottom w:val="single" w:color="0073CF" w:sz="6" w:space="1"/>
        </w:pBdr>
        <w:spacing w:after="180" w:before="180"/>
      </w:pPr>
      <w:r>
        <w:t xml:space="preserve"/>
      </w:r>
    </w:p>
    <w:p>
      <w:pPr>
        <w:spacing w:after="120" w:before="60"/>
      </w:pPr>
      <w:r>
        <w:rPr>
          <w:rFonts w:ascii="Arial" w:cs="Arial" w:eastAsia="Arial" w:hAnsi="Arial"/>
          <w:b w:val="false"/>
          <w:bCs w:val="false"/>
          <w:color w:val="1A1A1A"/>
          <w:sz w:val="22"/>
          <w:szCs w:val="22"/>
        </w:rPr>
        <w:t xml:space="preserve">All integration credentials and feature flags are stored in ServiceNow System Properties (sys_properties). This decouples configuration from code and allows environment-specific overrides without deployments.</w:t>
      </w:r>
    </w:p>
    <w:p>
      <w:pPr>
        <w:spacing w:before="100"/>
      </w:pPr>
    </w:p>
    <w:p>
      <w:pPr>
        <w:spacing w:after="120" w:before="280"/>
      </w:pPr>
      <w:r>
        <w:rPr>
          <w:rFonts w:ascii="Arial" w:cs="Arial" w:eastAsia="Arial" w:hAnsi="Arial"/>
          <w:b/>
          <w:bCs/>
          <w:color w:val="0073CF"/>
          <w:sz w:val="28"/>
          <w:szCs w:val="28"/>
        </w:rPr>
        <w:t xml:space="preserve">8.1  JIRA Integration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Property Key</w:t>
            </w:r>
          </w:p>
        </w:tc>
        <w:tc>
          <w:tcPr>
            <w:tcW w:type="dxa" w:w="516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Value / Notes</w:t>
            </w:r>
          </w:p>
        </w:tc>
      </w:tr>
      <w:tr>
        <w:tc>
          <w:tcPr>
            <w:tcW w:type="dxa" w:w="4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jira.integration.enabled</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true | false -- master on/off switch</w:t>
            </w:r>
          </w:p>
        </w:tc>
      </w:tr>
      <w:tr>
        <w:tc>
          <w:tcPr>
            <w:tcW w:type="dxa" w:w="42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jira.integration.base_url</w:t>
            </w:r>
          </w:p>
        </w:tc>
        <w:tc>
          <w:tcPr>
            <w:tcW w:type="dxa" w:w="51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https://yourcompany.atlassian.net</w:t>
            </w:r>
          </w:p>
        </w:tc>
      </w:tr>
      <w:tr>
        <w:tc>
          <w:tcPr>
            <w:tcW w:type="dxa" w:w="4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jira.integration.project_key</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ITSM (or your project key)</w:t>
            </w:r>
          </w:p>
        </w:tc>
      </w:tr>
      <w:tr>
        <w:tc>
          <w:tcPr>
            <w:tcW w:type="dxa" w:w="42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jira.integration.username</w:t>
            </w:r>
          </w:p>
        </w:tc>
        <w:tc>
          <w:tcPr>
            <w:tcW w:type="dxa" w:w="51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Service account email for API auth</w:t>
            </w:r>
          </w:p>
        </w:tc>
      </w:tr>
      <w:tr>
        <w:tc>
          <w:tcPr>
            <w:tcW w:type="dxa" w:w="4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jira.integration.api_token</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Atlassian API token from id.atlassian.com -- store as encrypted property</w:t>
            </w:r>
          </w:p>
        </w:tc>
      </w:tr>
    </w:tbl>
    <w:p>
      <w:pPr>
        <w:spacing w:before="140"/>
      </w:pPr>
    </w:p>
    <w:p>
      <w:pPr>
        <w:spacing w:after="120" w:before="280"/>
      </w:pPr>
      <w:r>
        <w:rPr>
          <w:rFonts w:ascii="Arial" w:cs="Arial" w:eastAsia="Arial" w:hAnsi="Arial"/>
          <w:b/>
          <w:bCs/>
          <w:color w:val="0073CF"/>
          <w:sz w:val="28"/>
          <w:szCs w:val="28"/>
        </w:rPr>
        <w:t xml:space="preserve">8.2  Spotify Integration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Property Key</w:t>
            </w:r>
          </w:p>
        </w:tc>
        <w:tc>
          <w:tcPr>
            <w:tcW w:type="dxa" w:w="516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Value / Notes</w:t>
            </w:r>
          </w:p>
        </w:tc>
      </w:tr>
      <w:tr>
        <w:tc>
          <w:tcPr>
            <w:tcW w:type="dxa" w:w="4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spotify.integration.enabled</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true | false -- master on/off switch</w:t>
            </w:r>
          </w:p>
        </w:tc>
      </w:tr>
      <w:tr>
        <w:tc>
          <w:tcPr>
            <w:tcW w:type="dxa" w:w="42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spotify.integration.client_id</w:t>
            </w:r>
          </w:p>
        </w:tc>
        <w:tc>
          <w:tcPr>
            <w:tcW w:type="dxa" w:w="51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From Spotify Developer Dashboard app settings</w:t>
            </w:r>
          </w:p>
        </w:tc>
      </w:tr>
      <w:tr>
        <w:tc>
          <w:tcPr>
            <w:tcW w:type="dxa" w:w="4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spotify.integration.client_secret</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Store as encrypted property -- never plain text</w:t>
            </w:r>
          </w:p>
        </w:tc>
      </w:tr>
      <w:tr>
        <w:tc>
          <w:tcPr>
            <w:tcW w:type="dxa" w:w="420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Courier New" w:cs="Courier New" w:eastAsia="Courier New" w:hAnsi="Courier New"/>
                <w:color w:val="B84500"/>
                <w:sz w:val="18"/>
                <w:szCs w:val="18"/>
              </w:rPr>
              <w:t xml:space="preserve">spotify.integration.redirect_uri</w:t>
            </w:r>
          </w:p>
        </w:tc>
        <w:tc>
          <w:tcPr>
            <w:tcW w:type="dxa" w:w="516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https://&lt;instance&gt;.service-now.com/api/x_custom/spotify/callback</w:t>
            </w:r>
          </w:p>
        </w:tc>
      </w:tr>
      <w:tr>
        <w:tc>
          <w:tcPr>
            <w:tcW w:type="dxa" w:w="4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Courier New" w:cs="Courier New" w:eastAsia="Courier New" w:hAnsi="Courier New"/>
                <w:color w:val="B84500"/>
                <w:sz w:val="18"/>
                <w:szCs w:val="18"/>
              </w:rPr>
              <w:t xml:space="preserve">spotify.integration.focus_playlist_id</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Spotify playlist ID for the default company focus playlist</w:t>
            </w:r>
          </w:p>
        </w:tc>
      </w:tr>
    </w:tbl>
    <w:p>
      <w:r>
        <w:br w:type="page"/>
      </w:r>
    </w:p>
    <w:p>
      <w:pPr>
        <w:spacing w:after="160" w:before="400"/>
      </w:pPr>
      <w:r>
        <w:rPr>
          <w:rFonts w:ascii="Arial" w:cs="Arial" w:eastAsia="Arial" w:hAnsi="Arial"/>
          <w:b/>
          <w:bCs/>
          <w:color w:val="1B3A6B"/>
          <w:sz w:val="38"/>
          <w:szCs w:val="38"/>
        </w:rPr>
        <w:t xml:space="preserve">9. Platform Glossary</w:t>
      </w:r>
    </w:p>
    <w:p>
      <w:pPr>
        <w:spacing w:after="120" w:before="60"/>
      </w:pPr>
      <w:r>
        <w:rPr>
          <w:rFonts w:ascii="Arial" w:cs="Arial" w:eastAsia="Arial" w:hAnsi="Arial"/>
          <w:b w:val="false"/>
          <w:bCs w:val="false"/>
          <w:color w:val="1A1A1A"/>
          <w:sz w:val="22"/>
          <w:szCs w:val="22"/>
        </w:rPr>
        <w:t xml:space="preserve">Quick reference for key ServiceNow and integration terms used throughout this document: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Term</w:t>
            </w:r>
          </w:p>
        </w:tc>
        <w:tc>
          <w:tcPr>
            <w:tcW w:type="dxa" w:w="6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Definition</w:t>
            </w:r>
          </w:p>
        </w:tc>
      </w:tr>
      <w:tr>
        <w:tc>
          <w:tcPr>
            <w:tcW w:type="dxa" w:w="28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GlideRecord</w:t>
            </w:r>
          </w:p>
        </w:tc>
        <w:tc>
          <w:tcPr>
            <w:tcW w:type="dxa" w:w="6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ServiceNow ORM for all table reads, inserts, updates, deletes with server-side execution context.</w:t>
            </w:r>
          </w:p>
        </w:tc>
      </w:tr>
      <w:tr>
        <w:tc>
          <w:tcPr>
            <w:tcW w:type="dxa" w:w="28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Business Rule</w:t>
            </w:r>
          </w:p>
        </w:tc>
        <w:tc>
          <w:tcPr>
            <w:tcW w:type="dxa" w:w="64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Server-side script that fires automatically on record lifecycle events: Before/After Insert, Update, Delete.</w:t>
            </w:r>
          </w:p>
        </w:tc>
      </w:tr>
      <w:tr>
        <w:tc>
          <w:tcPr>
            <w:tcW w:type="dxa" w:w="28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Script Include</w:t>
            </w:r>
          </w:p>
        </w:tc>
        <w:tc>
          <w:tcPr>
            <w:tcW w:type="dxa" w:w="6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Reusable server-side JavaScript class instantiated by BRs, Flow Actions, and REST scripts.</w:t>
            </w:r>
          </w:p>
        </w:tc>
      </w:tr>
      <w:tr>
        <w:tc>
          <w:tcPr>
            <w:tcW w:type="dxa" w:w="28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Client Script</w:t>
            </w:r>
          </w:p>
        </w:tc>
        <w:tc>
          <w:tcPr>
            <w:tcW w:type="dxa" w:w="64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JavaScript running in the user browser. Interacts with forms via the g_form API.</w:t>
            </w:r>
          </w:p>
        </w:tc>
      </w:tr>
      <w:tr>
        <w:tc>
          <w:tcPr>
            <w:tcW w:type="dxa" w:w="28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Flow Designer</w:t>
            </w:r>
          </w:p>
        </w:tc>
        <w:tc>
          <w:tcPr>
            <w:tcW w:type="dxa" w:w="6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Drag-and-drop workflow builder. Visual flowchart where each step can invoke a custom script action.</w:t>
            </w:r>
          </w:p>
        </w:tc>
      </w:tr>
      <w:tr>
        <w:tc>
          <w:tcPr>
            <w:tcW w:type="dxa" w:w="28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Flow Action</w:t>
            </w:r>
          </w:p>
        </w:tc>
        <w:tc>
          <w:tcPr>
            <w:tcW w:type="dxa" w:w="64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A single executable step in a Flow Designer flow. Can contain custom server-side script logic.</w:t>
            </w:r>
          </w:p>
        </w:tc>
      </w:tr>
      <w:tr>
        <w:tc>
          <w:tcPr>
            <w:tcW w:type="dxa" w:w="28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Subflow</w:t>
            </w:r>
          </w:p>
        </w:tc>
        <w:tc>
          <w:tcPr>
            <w:tcW w:type="dxa" w:w="6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Reusable mini-flow called from other flows. Used to encapsulate repeatable logic.</w:t>
            </w:r>
          </w:p>
        </w:tc>
      </w:tr>
      <w:tr>
        <w:tc>
          <w:tcPr>
            <w:tcW w:type="dxa" w:w="28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Scripted REST API</w:t>
            </w:r>
          </w:p>
        </w:tc>
        <w:tc>
          <w:tcPr>
            <w:tcW w:type="dxa" w:w="64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Custom HTTP endpoint built inside ServiceNow. Used to receive webhooks from external systems.</w:t>
            </w:r>
          </w:p>
        </w:tc>
      </w:tr>
      <w:tr>
        <w:tc>
          <w:tcPr>
            <w:tcW w:type="dxa" w:w="28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Inbound Email Action</w:t>
            </w:r>
          </w:p>
        </w:tc>
        <w:tc>
          <w:tcPr>
            <w:tcW w:type="dxa" w:w="6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Script triggered when ServiceNow receives an email. Processes the email object to create/update records.</w:t>
            </w:r>
          </w:p>
        </w:tc>
      </w:tr>
      <w:tr>
        <w:tc>
          <w:tcPr>
            <w:tcW w:type="dxa" w:w="28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RITM</w:t>
            </w:r>
          </w:p>
        </w:tc>
        <w:tc>
          <w:tcPr>
            <w:tcW w:type="dxa" w:w="64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Requested Item -- the sc_req_item record created when a Service Catalog request is submitted.</w:t>
            </w:r>
          </w:p>
        </w:tc>
      </w:tr>
      <w:tr>
        <w:tc>
          <w:tcPr>
            <w:tcW w:type="dxa" w:w="28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CAB</w:t>
            </w:r>
          </w:p>
        </w:tc>
        <w:tc>
          <w:tcPr>
            <w:tcW w:type="dxa" w:w="6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Change Advisory Board -- governance group that reviews and approves high-risk Change Requests.</w:t>
            </w:r>
          </w:p>
        </w:tc>
      </w:tr>
      <w:tr>
        <w:tc>
          <w:tcPr>
            <w:tcW w:type="dxa" w:w="28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SLA</w:t>
            </w:r>
          </w:p>
        </w:tc>
        <w:tc>
          <w:tcPr>
            <w:tcW w:type="dxa" w:w="64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Service Level Agreement -- contractual time target for fulfilling or resolving a request.</w:t>
            </w:r>
          </w:p>
        </w:tc>
      </w:tr>
      <w:tr>
        <w:tc>
          <w:tcPr>
            <w:tcW w:type="dxa" w:w="28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OAuth 2.0</w:t>
            </w:r>
          </w:p>
        </w:tc>
        <w:tc>
          <w:tcPr>
            <w:tcW w:type="dxa" w:w="6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Industry-standard authorisation protocol used by the Spotify integration for delegated user access.</w:t>
            </w:r>
          </w:p>
        </w:tc>
      </w:tr>
      <w:tr>
        <w:tc>
          <w:tcPr>
            <w:tcW w:type="dxa" w:w="28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Scoped Application</w:t>
            </w:r>
          </w:p>
        </w:tc>
        <w:tc>
          <w:tcPr>
            <w:tcW w:type="dxa" w:w="64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Self-contained ServiceNow app with its own namespace (x_ prefix), preventing conflicts with other apps.</w:t>
            </w:r>
          </w:p>
        </w:tc>
      </w:tr>
      <w:tr>
        <w:tc>
          <w:tcPr>
            <w:tcW w:type="dxa" w:w="28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CI / CMDB</w:t>
            </w:r>
          </w:p>
        </w:tc>
        <w:tc>
          <w:tcPr>
            <w:tcW w:type="dxa" w:w="6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Configuration Item -- any IT asset tracked in the CMDB: servers, laptops, switches, software, etc.</w:t>
            </w:r>
          </w:p>
        </w:tc>
      </w:tr>
      <w:tr>
        <w:tc>
          <w:tcPr>
            <w:tcW w:type="dxa" w:w="28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P1 / P2</w:t>
            </w:r>
          </w:p>
        </w:tc>
        <w:tc>
          <w:tcPr>
            <w:tcW w:type="dxa" w:w="6480"/>
            <w:tcBorders>
              <w:top w:val="single" w:color="B0C4DE" w:sz="1"/>
              <w:left w:val="single" w:color="B0C4DE" w:sz="1"/>
              <w:bottom w:val="single" w:color="B0C4DE" w:sz="1"/>
              <w:right w:val="single" w:color="B0C4DE" w:sz="1"/>
            </w:tcBorders>
            <w:shd w:fill="E8F1FA" w:val="clear"/>
            <w:tcMar>
              <w:top w:type="dxa" w:w="80"/>
              <w:left w:type="dxa" w:w="140"/>
              <w:bottom w:type="dxa" w:w="80"/>
              <w:right w:type="dxa" w:w="140"/>
            </w:tcMar>
          </w:tcPr>
          <w:p>
            <w:r>
              <w:rPr>
                <w:rFonts w:ascii="Arial" w:cs="Arial" w:eastAsia="Arial" w:hAnsi="Arial"/>
                <w:color w:val="1A1A1A"/>
                <w:sz w:val="20"/>
                <w:szCs w:val="20"/>
              </w:rPr>
              <w:t xml:space="preserve">Priority 1 = Critical. Priority 2 = High. Drives SLA thresholds and on-call escalation rules.</w:t>
            </w:r>
          </w:p>
        </w:tc>
      </w:tr>
    </w:tbl>
    <w:p>
      <w:pPr>
        <w:spacing w:before="200"/>
      </w:pPr>
    </w:p>
    <w:p>
      <w:pPr>
        <w:pBdr>
          <w:bottom w:val="single" w:color="0073CF" w:sz="6" w:space="1"/>
        </w:pBdr>
        <w:spacing w:after="180" w:before="180"/>
      </w:pPr>
      <w:r>
        <w:t xml:space="preserve"/>
      </w:r>
    </w:p>
    <w:p>
      <w:pPr>
        <w:spacing w:after="120" w:before="60"/>
      </w:pPr>
      <w:r>
        <w:rPr>
          <w:rFonts w:ascii="Arial" w:cs="Arial" w:eastAsia="Arial" w:hAnsi="Arial"/>
          <w:b w:val="false"/>
          <w:bCs w:val="false"/>
          <w:color w:val="4A5568"/>
          <w:sz w:val="22"/>
          <w:szCs w:val="22"/>
        </w:rPr>
        <w:t xml:space="preserve">Document prepared for client review -- April 2026  |  Platform: ServiceNow Utah or later  |  All scripts: JavaScript ES5 (Rhino engine)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3CF" w:sz="4" w:space="4"/>
      </w:pBdr>
      <w:spacing w:after="60" w:before="60"/>
      <w:jc w:val="center"/>
    </w:pPr>
    <w:r>
      <w:rPr>
        <w:rFonts w:ascii="Arial" w:cs="Arial" w:eastAsia="Arial" w:hAnsi="Arial"/>
        <w:color w:val="4A5568"/>
        <w:sz w:val="18"/>
        <w:szCs w:val="18"/>
      </w:rPr>
      <w:t xml:space="preserve">Confidential — Prepared for Client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3CF" w:sz="4" w:space="4"/>
      </w:pBdr>
      <w:spacing w:after="60" w:before="60"/>
    </w:pPr>
    <w:r>
      <w:rPr>
        <w:rFonts w:ascii="Arial" w:cs="Arial" w:eastAsia="Arial" w:hAnsi="Arial"/>
        <w:color w:val="4A5568"/>
        <w:sz w:val="18"/>
        <w:szCs w:val="18"/>
      </w:rPr>
      <w:t xml:space="preserve">ServiceNow GitHub Projects · Technical Reference Guide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2026-04-22T08:17:57.161Z</dcterms:created>
  <dcterms:modified xsi:type="dcterms:W3CDTF">2026-04-22T08:17:57.162Z</dcterms:modified>
</cp:coreProperties>
</file>

<file path=docProps/custom.xml><?xml version="1.0" encoding="utf-8"?>
<Properties xmlns="http://schemas.openxmlformats.org/officeDocument/2006/custom-properties" xmlns:vt="http://schemas.openxmlformats.org/officeDocument/2006/docPropsVTypes"/>
</file>