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sz w:val="40"/>
          <w:szCs w:val="40"/>
        </w:rPr>
        <w:t xml:space="preserve">Detecting Intravenous Contrast in CT Slices with Deep Learning: A Patient-Grouped Cross-Validation Study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i w:val="false"/>
                <w:iCs w:val="false"/>
                <w:sz w:val="22"/>
                <w:szCs w:val="22"/>
              </w:rPr>
              <w:t xml:space="preserve">Abhinava Kotha (23070521075)</w:t>
            </w:r>
          </w:p>
          <w:p>
            <w:pPr>
              <w:spacing w:after="0"/>
              <w:jc w:val="center"/>
            </w:pPr>
            <w:r>
              <w:rPr>
                <w:rFonts w:ascii="Times New Roman" w:cs="Times New Roman" w:eastAsia="Times New Roman" w:hAnsi="Times New Roman"/>
                <w:i/>
                <w:iCs/>
                <w:sz w:val="18"/>
                <w:szCs w:val="18"/>
              </w:rPr>
              <w:t xml:space="preserve">B.Tech Computer Science and Engineering</w:t>
            </w:r>
          </w:p>
          <w:p>
            <w:pPr>
              <w:spacing w:after="0"/>
              <w:jc w:val="center"/>
            </w:pPr>
            <w:r>
              <w:rPr>
                <w:rFonts w:ascii="Times New Roman" w:cs="Times New Roman" w:eastAsia="Times New Roman" w:hAnsi="Times New Roman"/>
                <w:i/>
                <w:iCs/>
                <w:sz w:val="18"/>
                <w:szCs w:val="18"/>
              </w:rPr>
              <w:t xml:space="preserve">Symbiosis Institute of Technology, Symbiosis International University</w:t>
            </w:r>
          </w:p>
          <w:p>
            <w:pPr>
              <w:spacing w:after="0"/>
              <w:jc w:val="center"/>
            </w:pPr>
            <w:r>
              <w:rPr>
                <w:rFonts w:ascii="Times New Roman" w:cs="Times New Roman" w:eastAsia="Times New Roman" w:hAnsi="Times New Roman"/>
                <w:i/>
                <w:iCs/>
                <w:sz w:val="18"/>
                <w:szCs w:val="18"/>
              </w:rPr>
              <w:t xml:space="preserve">Nagpur, India</w:t>
            </w:r>
          </w:p>
          <w:p>
            <w:pPr>
              <w:spacing w:after="120"/>
              <w:jc w:val="center"/>
            </w:pPr>
            <w:r>
              <w:rPr>
                <w:rFonts w:ascii="Times New Roman" w:cs="Times New Roman" w:eastAsia="Times New Roman" w:hAnsi="Times New Roman"/>
                <w:i w:val="false"/>
                <w:iCs w:val="false"/>
                <w:sz w:val="18"/>
                <w:szCs w:val="18"/>
              </w:rPr>
              <w:t xml:space="preserve">akashkotha9@gmail.com</w:t>
            </w:r>
          </w:p>
        </w:tc>
        <w:tc>
          <w:tcPr>
            <w:tcW w:type="dxa" w:w="504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i w:val="false"/>
                <w:iCs w:val="false"/>
                <w:sz w:val="22"/>
                <w:szCs w:val="22"/>
              </w:rPr>
              <w:t xml:space="preserve">Arya Gour (23070521021)</w:t>
            </w:r>
          </w:p>
          <w:p>
            <w:pPr>
              <w:spacing w:after="0"/>
              <w:jc w:val="center"/>
            </w:pPr>
            <w:r>
              <w:rPr>
                <w:rFonts w:ascii="Times New Roman" w:cs="Times New Roman" w:eastAsia="Times New Roman" w:hAnsi="Times New Roman"/>
                <w:i/>
                <w:iCs/>
                <w:sz w:val="18"/>
                <w:szCs w:val="18"/>
              </w:rPr>
              <w:t xml:space="preserve">B.Tech Computer Science and Engineering</w:t>
            </w:r>
          </w:p>
          <w:p>
            <w:pPr>
              <w:spacing w:after="0"/>
              <w:jc w:val="center"/>
            </w:pPr>
            <w:r>
              <w:rPr>
                <w:rFonts w:ascii="Times New Roman" w:cs="Times New Roman" w:eastAsia="Times New Roman" w:hAnsi="Times New Roman"/>
                <w:i/>
                <w:iCs/>
                <w:sz w:val="18"/>
                <w:szCs w:val="18"/>
              </w:rPr>
              <w:t xml:space="preserve">Symbiosis Institute of Technology, Symbiosis International University</w:t>
            </w:r>
          </w:p>
          <w:p>
            <w:pPr>
              <w:spacing w:after="0"/>
              <w:jc w:val="center"/>
            </w:pPr>
            <w:r>
              <w:rPr>
                <w:rFonts w:ascii="Times New Roman" w:cs="Times New Roman" w:eastAsia="Times New Roman" w:hAnsi="Times New Roman"/>
                <w:i/>
                <w:iCs/>
                <w:sz w:val="18"/>
                <w:szCs w:val="18"/>
              </w:rPr>
              <w:t xml:space="preserve">Nagpur, India</w:t>
            </w:r>
          </w:p>
          <w:p>
            <w:pPr>
              <w:spacing w:after="120"/>
              <w:jc w:val="center"/>
            </w:pPr>
            <w:r>
              <w:rPr>
                <w:rFonts w:ascii="Times New Roman" w:cs="Times New Roman" w:eastAsia="Times New Roman" w:hAnsi="Times New Roman"/>
                <w:i w:val="false"/>
                <w:iCs w:val="false"/>
                <w:sz w:val="18"/>
                <w:szCs w:val="18"/>
              </w:rPr>
              <w:t xml:space="preserve">aryagour8888@gmail.com</w:t>
            </w:r>
          </w:p>
        </w:tc>
      </w:tr>
    </w:tbl>
    <w:p>
      <w:pPr>
        <w:spacing w:after="6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Intravenous (IV) contrast status is often missing or wrong in DICOM metadata, which hurts data curation and model deployment </w:t>
      </w:r>
      <w:r>
        <w:rPr>
          <w:rFonts w:ascii="Times New Roman" w:cs="Times New Roman" w:eastAsia="Times New Roman" w:hAnsi="Times New Roman"/>
          <w:sz w:val="18"/>
          <w:szCs w:val="18"/>
        </w:rPr>
        <w:t xml:space="preserve">[1]</w:t>
      </w:r>
      <w:r>
        <w:rPr>
          <w:rFonts w:ascii="Times New Roman" w:cs="Times New Roman" w:eastAsia="Times New Roman" w:hAnsi="Times New Roman"/>
          <w:sz w:val="18"/>
          <w:szCs w:val="18"/>
        </w:rPr>
        <w:t xml:space="preserve">. This report studies whether contrast can be detected from pixel data alone on the public SIIM medical-images set (100 CT slices, 94 after de-duplication, 54 patient IDs). We compare a logistic-regression baseline on handcrafted Hounsfield-unit (HU) features, an age-only control, a small CNN trained from scratch and an ImageNet-initialised ResNet18, all under stratified, patient-grouped 5-fold cross-validation with fixed epochs. Out-of-fold (OOF) AUCs were 0.952 (HU features + LR), 0.948 (ResNet18), 0.902 (small CNN) and 0.543 (age only). Group-bootstrap 95% intervals overlap for the first three, so we do not claim a winner. Grad-CAM on a few held-out slices is partly plausible and partly points to image periphery. Results are a proof of concept on a very small sample without external validation.</w:t>
      </w:r>
    </w:p>
    <w:p>
      <w:pPr>
        <w:spacing w:after="8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computed tomography, contrast agent detection, deep learning, ResNet, Grad-CAM, patient-grouped cross-validation, shortcut learning.</w:t>
      </w:r>
    </w:p>
    <w:p>
      <w:pPr>
        <w:sectPr>
          <w:pgSz w:w="12240" w:h="15840" w:orient="portrait"/>
          <w:pgMar w:top="1000" w:right="1080" w:bottom="900" w:left="1080" w:header="708" w:footer="708" w:gutter="0"/>
          <w:pgNumType/>
          <w:docGrid w:linePitch="360"/>
        </w:sectPr>
      </w:pPr>
    </w:p>
    <w:p>
      <w:pPr>
        <w:keepNext/>
        <w:spacing w:after="60" w:before="140"/>
        <w:jc w:val="center"/>
      </w:pPr>
      <w:r>
        <w:rPr>
          <w:rFonts w:ascii="Times New Roman" w:cs="Times New Roman" w:eastAsia="Times New Roman" w:hAnsi="Times New Roman"/>
          <w:smallCaps w:val="false"/>
          <w:sz w:val="18"/>
          <w:szCs w:val="18"/>
        </w:rPr>
        <w:t xml:space="preserve">I. INTRODUCTION</w:t>
      </w:r>
    </w:p>
    <w:p>
      <w:pPr>
        <w:spacing w:after="70" w:line="228"/>
        <w:ind w:firstLine="200"/>
        <w:jc w:val="both"/>
      </w:pPr>
      <w:r>
        <w:rPr>
          <w:rFonts w:ascii="Times New Roman" w:cs="Times New Roman" w:eastAsia="Times New Roman" w:hAnsi="Times New Roman"/>
          <w:sz w:val="20"/>
          <w:szCs w:val="20"/>
        </w:rPr>
        <w:t xml:space="preserve">Contrast-enhanced computed tomography (CT) is routine in oncology and emergency imaging, yet the flag that records whether IV contrast was given is entered by hand and is frequently absent or wrong. In a head-and-neck and chest CT cohort, metadata for IV contrast was missing or erroneous in 75.6% of scans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Any large-scale study that mixes enhanced and unenhanced images therefore needs an automatic, image-based check. In our own data the problem is visible: of the 47 contrast slices, 36 carry an empty contrast-agent tag.</w:t>
      </w:r>
    </w:p>
    <w:p>
      <w:pPr>
        <w:spacing w:after="70" w:line="228"/>
        <w:ind w:firstLine="200"/>
        <w:jc w:val="both"/>
      </w:pPr>
      <w:r>
        <w:rPr>
          <w:rFonts w:ascii="Times New Roman" w:cs="Times New Roman" w:eastAsia="Times New Roman" w:hAnsi="Times New Roman"/>
          <w:sz w:val="20"/>
          <w:szCs w:val="20"/>
        </w:rPr>
        <w:t xml:space="preserve">This project asks a narrow question: can a model recognise contrast from a single axial slice, and can we trust the answer? Small medical datasets are prone to optimistic scores from leakage and shortcuts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so the study is designed around evaluation hygiene as much as accuracy. Our contributions are: (i) a patient-grouped, stratified 5-fold protocol in which every slice is predicted once out-of-fold; (ii) an interpretable HU-feature baseline and an age-only control that expose shortcut risk; (iii) a from-scratch CNN and a fine-tuned ResNet18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(iv) group-bootstrap confidence intervals and Grad-CAM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inspection; and (v) an honest comparison with published contrast-detection work.</w:t>
      </w:r>
    </w:p>
    <w:p>
      <w:pPr>
        <w:keepNext/>
        <w:spacing w:after="60" w:before="140"/>
        <w:jc w:val="center"/>
      </w:pPr>
      <w:r>
        <w:rPr>
          <w:rFonts w:ascii="Times New Roman" w:cs="Times New Roman" w:eastAsia="Times New Roman" w:hAnsi="Times New Roman"/>
          <w:smallCaps w:val="false"/>
          <w:sz w:val="18"/>
          <w:szCs w:val="18"/>
        </w:rPr>
        <w:t xml:space="preserve">II. RELATED WORK</w:t>
      </w:r>
    </w:p>
    <w:p>
      <w:pPr>
        <w:spacing w:after="70" w:line="228"/>
        <w:ind w:firstLine="200"/>
        <w:jc w:val="both"/>
      </w:pPr>
      <w:r>
        <w:rPr>
          <w:rFonts w:ascii="Times New Roman" w:cs="Times New Roman" w:eastAsia="Times New Roman" w:hAnsi="Times New Roman"/>
          <w:i/>
          <w:iCs/>
          <w:sz w:val="20"/>
          <w:szCs w:val="20"/>
        </w:rPr>
        <w:t xml:space="preserve">Contrast detection.</w:t>
      </w:r>
      <w:r>
        <w:rPr>
          <w:rFonts w:ascii="Times New Roman" w:cs="Times New Roman" w:eastAsia="Times New Roman" w:hAnsi="Times New Roman"/>
          <w:sz w:val="20"/>
          <w:szCs w:val="20"/>
        </w:rPr>
        <w:t xml:space="preserve"> Ye et al. trained five CNNs on 133,480 slices from 1,979 head-and-neck and chest CT scans; EfficientNetB4 performed best, with AUC 0.996 (internal) and 1.0 (external) on head-and-neck scans and 1.0 and 0.980 on chest CT after fine-tuning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For abdominal CT, Rocha et al. built a CNN that recognises the four liver phases and reached 94.6% slice-level accuracy against radiologist labels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Reis et al. instead segmented vessels and kidneys with TotalSegmentator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and classified radiodensity features with gradient boosting, reporting 92.3% accuracy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These studies agree that metadata is unreliable and that pixel statistics carry the signal.</w:t>
      </w:r>
    </w:p>
    <w:p>
      <w:pPr>
        <w:spacing w:after="70" w:line="228"/>
        <w:ind w:firstLine="200"/>
        <w:jc w:val="both"/>
      </w:pPr>
      <w:r>
        <w:rPr>
          <w:rFonts w:ascii="Times New Roman" w:cs="Times New Roman" w:eastAsia="Times New Roman" w:hAnsi="Times New Roman"/>
          <w:i/>
          <w:iCs/>
          <w:sz w:val="20"/>
          <w:szCs w:val="20"/>
        </w:rPr>
        <w:t xml:space="preserve">Architectures.</w:t>
      </w:r>
      <w:r>
        <w:rPr>
          <w:rFonts w:ascii="Times New Roman" w:cs="Times New Roman" w:eastAsia="Times New Roman" w:hAnsi="Times New Roman"/>
          <w:sz w:val="20"/>
          <w:szCs w:val="20"/>
        </w:rPr>
        <w:t xml:space="preserve"> Vision Transformers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Swin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ConvNeXt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and EfficientNetV2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are current backbones, and surveys discuss their use in medical imaging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Matsoukas et al. found that CNNs do better when trained from scratch, while ViTs match them with ImageNet pre-training and can beat them with self-supervised pre-training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self-supervision also helps label-scarce medical tasks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With under 100 slices we therefore keep to convolutional models.</w:t>
      </w:r>
    </w:p>
    <w:p>
      <w:pPr>
        <w:spacing w:after="70" w:line="228"/>
        <w:ind w:firstLine="200"/>
        <w:jc w:val="both"/>
      </w:pPr>
      <w:r>
        <w:rPr>
          <w:rFonts w:ascii="Times New Roman" w:cs="Times New Roman" w:eastAsia="Times New Roman" w:hAnsi="Times New Roman"/>
          <w:i/>
          <w:iCs/>
          <w:sz w:val="20"/>
          <w:szCs w:val="20"/>
        </w:rPr>
        <w:t xml:space="preserve">Reliability.</w:t>
      </w:r>
      <w:r>
        <w:rPr>
          <w:rFonts w:ascii="Times New Roman" w:cs="Times New Roman" w:eastAsia="Times New Roman" w:hAnsi="Times New Roman"/>
          <w:sz w:val="20"/>
          <w:szCs w:val="20"/>
        </w:rPr>
        <w:t xml:space="preserve"> Models can latch onto source, scanner or demographic cues instead of pathology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and leakage inflates reported performance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We address this through grouped splits, a negative-control model and saliency checks.</w:t>
      </w:r>
    </w:p>
    <w:p>
      <w:pPr>
        <w:spacing w:after="70" w:line="228"/>
        <w:ind w:firstLine="200"/>
        <w:jc w:val="both"/>
      </w:pPr>
      <w:r>
        <w:rPr>
          <w:rFonts w:ascii="Times New Roman" w:cs="Times New Roman" w:eastAsia="Times New Roman" w:hAnsi="Times New Roman"/>
          <w:i/>
          <w:iCs/>
          <w:sz w:val="20"/>
          <w:szCs w:val="20"/>
        </w:rPr>
        <w:t xml:space="preserve">Evaluation practice.</w:t>
      </w:r>
      <w:r>
        <w:rPr>
          <w:rFonts w:ascii="Times New Roman" w:cs="Times New Roman" w:eastAsia="Times New Roman" w:hAnsi="Times New Roman"/>
          <w:sz w:val="20"/>
          <w:szCs w:val="20"/>
        </w:rPr>
        <w:t xml:space="preserve"> Reviews of COVID-19 imaging models found that none of 62 studies was of potential clinical use because of Frankenstein datasets, missing external validation and biased labels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Dataset bias is documented across chest X-ray, retina, brain and pathology data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and a network can recover demographic attributes from CT, X-ray and mammograms even when experts cannot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For contrast detection this means a high AUC is only convincing if the protocol rules out source, anatomy and demographic cues, which is why we pair patient grouping with controls rather than relying on a single random split.</w:t>
      </w:r>
    </w:p>
    <w:p>
      <w:pPr>
        <w:keepNext/>
        <w:spacing w:after="60" w:before="140"/>
        <w:jc w:val="center"/>
      </w:pPr>
      <w:r>
        <w:rPr>
          <w:rFonts w:ascii="Times New Roman" w:cs="Times New Roman" w:eastAsia="Times New Roman" w:hAnsi="Times New Roman"/>
          <w:smallCaps w:val="false"/>
          <w:sz w:val="18"/>
          <w:szCs w:val="18"/>
        </w:rPr>
        <w:t xml:space="preserve">III. DATASET AND EXPLORATORY ANALYSIS</w:t>
      </w:r>
    </w:p>
    <w:p>
      <w:pPr>
        <w:spacing w:after="70" w:line="228"/>
        <w:ind w:firstLine="200"/>
        <w:jc w:val="both"/>
      </w:pPr>
      <w:r>
        <w:rPr>
          <w:rFonts w:ascii="Times New Roman" w:cs="Times New Roman" w:eastAsia="Times New Roman" w:hAnsi="Times New Roman"/>
          <w:sz w:val="20"/>
          <w:szCs w:val="20"/>
        </w:rPr>
        <w:t xml:space="preserve">We use the public Kaggle </w:t>
      </w:r>
      <w:r>
        <w:rPr>
          <w:rFonts w:ascii="Times New Roman" w:cs="Times New Roman" w:eastAsia="Times New Roman" w:hAnsi="Times New Roman"/>
          <w:i/>
          <w:iCs/>
          <w:sz w:val="20"/>
          <w:szCs w:val="20"/>
        </w:rPr>
        <w:t xml:space="preserve">kmader/siim-medical-images</w:t>
      </w:r>
      <w:r>
        <w:rPr>
          <w:rFonts w:ascii="Times New Roman" w:cs="Times New Roman" w:eastAsia="Times New Roman" w:hAnsi="Times New Roman"/>
          <w:sz w:val="20"/>
          <w:szCs w:val="20"/>
        </w:rPr>
        <w:t xml:space="preserve"> set: 100 DICOM CT slices (512×512) with an overview table carrying age, a Boolean contrast label and DICOM file names. The label column and DICOM file column were located programmatically and every row was matched to a file by assertion. HU values were obtained from stored pixels using the rescale slope and intercept. Exact-duplicate pixel arrays were removed by MD5 hashing, leaving 94 slices (47 per class) from 54 unique PatientIDs, so several slices share a patient. Raw HU values span −3024 to 3072.</w:t>
      </w:r>
    </w:p>
    <w:p>
      <w:pPr>
        <w:spacing w:after="70" w:line="228"/>
        <w:ind w:firstLine="200"/>
        <w:jc w:val="both"/>
      </w:pPr>
      <w:r>
        <w:rPr>
          <w:rFonts w:ascii="Times New Roman" w:cs="Times New Roman" w:eastAsia="Times New Roman" w:hAnsi="Times New Roman"/>
          <w:sz w:val="20"/>
          <w:szCs w:val="20"/>
        </w:rPr>
        <w:t xml:space="preserve">Table I summarises the class-wise HU statistics inside a body mask (threshold −300 HU, opening, largest component, hole filling). Contrast slices have a higher soft-tissue mean (37.3 vs 16.4 HU, Mann–Whitney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=2.97×10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and a much higher 90th percentile (161.6 vs 84.5 HU,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=4.16×10</w:t>
      </w:r>
      <w:r>
        <w:rPr>
          <w:rFonts w:ascii="Times New Roman" w:cs="Times New Roman" w:eastAsia="Times New Roman" w:hAnsi="Times New Roman"/>
          <w:sz w:val="20"/>
          <w:szCs w:val="20"/>
          <w:vertAlign w:val="superscript"/>
        </w:rPr>
        <w:t xml:space="preserve">−11</w:t>
      </w:r>
      <w:r>
        <w:rPr>
          <w:rFonts w:ascii="Times New Roman" w:cs="Times New Roman" w:eastAsia="Times New Roman" w:hAnsi="Times New Roman"/>
          <w:sz w:val="20"/>
          <w:szCs w:val="20"/>
        </w:rPr>
        <w:t xml:space="preserve">), whereas the 99th percentile does not differ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=0.354); this matches enhancement of vessels and organs rather than bone. Age is not significantly different (69.2 vs 65.7 years,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=0.104). The body-area fraction does differ (0.46 vs 0.53), a possible anatomical shortcut that we keep in mind when reading Grad-CAM.</w:t>
      </w:r>
    </w:p>
    <w:p>
      <w:pPr>
        <w:keepNext/>
        <w:spacing w:after="40" w:before="80"/>
        <w:jc w:val="center"/>
      </w:pPr>
      <w:r>
        <w:rPr>
          <w:rFonts w:ascii="Times New Roman" w:cs="Times New Roman" w:eastAsia="Times New Roman" w:hAnsi="Times New Roman"/>
          <w:sz w:val="16"/>
          <w:szCs w:val="16"/>
        </w:rPr>
        <w:t xml:space="preserve">TABLE I. CLASS-WISE HU STATISTICS (MEAN OVER SLICES)</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150"/>
        <w:gridCol w:w="600"/>
        <w:gridCol w:w="600"/>
        <w:gridCol w:w="600"/>
        <w:gridCol w:w="640"/>
        <w:gridCol w:w="600"/>
        <w:gridCol w:w="610"/>
      </w:tblGrid>
      <w:tr>
        <w:trPr>
          <w:cantSplit/>
          <w:tblHeader/>
        </w:trPr>
        <w:tc>
          <w:tcPr>
            <w:tcW w:type="dxa" w:w="11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Class</w:t>
            </w:r>
          </w:p>
        </w:tc>
        <w:tc>
          <w:tcPr>
            <w:tcW w:type="dxa" w:w="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Body frac.</w:t>
            </w:r>
          </w:p>
        </w:tc>
        <w:tc>
          <w:tcPr>
            <w:tcW w:type="dxa" w:w="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ST mean</w:t>
            </w:r>
          </w:p>
        </w:tc>
        <w:tc>
          <w:tcPr>
            <w:tcW w:type="dxa" w:w="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ST std</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p50</w:t>
            </w:r>
          </w:p>
        </w:tc>
        <w:tc>
          <w:tcPr>
            <w:tcW w:type="dxa" w:w="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p90</w:t>
            </w:r>
          </w:p>
        </w:tc>
        <w:tc>
          <w:tcPr>
            <w:tcW w:type="dxa" w:w="61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p99</w:t>
            </w:r>
          </w:p>
        </w:tc>
      </w:tr>
      <w:tr>
        <w:trPr>
          <w:cantSplit/>
          <w:tblHeader w:val="off"/>
        </w:trPr>
        <w:tc>
          <w:tcPr>
            <w:tcW w:type="dxa" w:w="11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No contrast (47)</w:t>
            </w:r>
          </w:p>
        </w:tc>
        <w:tc>
          <w:tcPr>
            <w:tcW w:type="dxa" w:w="6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0.46</w:t>
            </w:r>
          </w:p>
        </w:tc>
        <w:tc>
          <w:tcPr>
            <w:tcW w:type="dxa" w:w="6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16.41</w:t>
            </w:r>
          </w:p>
        </w:tc>
        <w:tc>
          <w:tcPr>
            <w:tcW w:type="dxa" w:w="6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71.88</w:t>
            </w:r>
          </w:p>
        </w:tc>
        <w:tc>
          <w:tcPr>
            <w:tcW w:type="dxa" w:w="64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−47.76</w:t>
            </w:r>
          </w:p>
        </w:tc>
        <w:tc>
          <w:tcPr>
            <w:tcW w:type="dxa" w:w="6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84.46</w:t>
            </w:r>
          </w:p>
        </w:tc>
        <w:tc>
          <w:tcPr>
            <w:tcW w:type="dxa" w:w="61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477.70</w:t>
            </w:r>
          </w:p>
        </w:tc>
      </w:tr>
      <w:tr>
        <w:trPr>
          <w:cantSplit/>
          <w:tblHeader w:val="off"/>
        </w:trPr>
        <w:tc>
          <w:tcPr>
            <w:tcW w:type="dxa" w:w="11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Contrast (47)</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0.53</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37.27</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88.52</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−63.92</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161.61</w:t>
            </w:r>
          </w:p>
        </w:tc>
        <w:tc>
          <w:tcPr>
            <w:tcW w:type="dxa" w:w="61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515.57</w:t>
            </w:r>
          </w:p>
        </w:tc>
      </w:tr>
    </w:tbl>
    <w:p>
      <w:pPr>
        <w:spacing w:after="40"/>
      </w:pPr>
    </w:p>
    <w:p>
      <w:pPr>
        <w:spacing w:after="70" w:line="228"/>
        <w:ind w:firstLine="200"/>
        <w:jc w:val="both"/>
      </w:pPr>
      <w:r>
        <w:rPr>
          <w:rFonts w:ascii="Times New Roman" w:cs="Times New Roman" w:eastAsia="Times New Roman" w:hAnsi="Times New Roman"/>
          <w:i/>
          <w:iCs/>
          <w:sz w:val="20"/>
          <w:szCs w:val="20"/>
        </w:rPr>
        <w:t xml:space="preserve">Metadata and heterogeneity.</w:t>
      </w:r>
      <w:r>
        <w:rPr>
          <w:rFonts w:ascii="Times New Roman" w:cs="Times New Roman" w:eastAsia="Times New Roman" w:hAnsi="Times New Roman"/>
          <w:sz w:val="20"/>
          <w:szCs w:val="20"/>
        </w:rPr>
        <w:t xml:space="preserve"> The 94 slices come from a heterogeneous source (Table II): two scanner manufacturers, twelve slice thicknesses, seven tube voltages and 55 distinct pixel spacings. Heterogeneity helps realism but it also gives a model many non-contrast cues to exploit. The DICOM contrast-agent tag is informative only in one direction: 11 of the 47 contrast slices contain an agent name (for example ISOVUE or OPTIRAY) and none of the non-contrast slices does, while the other 36 contrast slices carry an empty field. A metadata rule would therefore miss about three quarters of contrast cases, which is the practical argument for classifying from pixels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w:t>
      </w:r>
    </w:p>
    <w:p>
      <w:pPr>
        <w:keepNext/>
        <w:spacing w:after="40" w:before="80"/>
        <w:jc w:val="center"/>
      </w:pPr>
      <w:r>
        <w:rPr>
          <w:rFonts w:ascii="Times New Roman" w:cs="Times New Roman" w:eastAsia="Times New Roman" w:hAnsi="Times New Roman"/>
          <w:sz w:val="16"/>
          <w:szCs w:val="16"/>
        </w:rPr>
        <w:t xml:space="preserve">TABLE II. DISTINCT VALUES PER DICOM FIELD (94 SLICES)</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300"/>
        <w:gridCol w:w="800"/>
        <w:gridCol w:w="1700"/>
        <w:gridCol w:w="1000"/>
      </w:tblGrid>
      <w:tr>
        <w:trPr>
          <w:cantSplit/>
          <w:tblHeader/>
        </w:trPr>
        <w:tc>
          <w:tcPr>
            <w:tcW w:type="dxa" w:w="1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Field</w:t>
            </w:r>
          </w:p>
        </w:tc>
        <w:tc>
          <w:tcPr>
            <w:tcW w:type="dxa" w:w="8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Distinct</w:t>
            </w:r>
          </w:p>
        </w:tc>
        <w:tc>
          <w:tcPr>
            <w:tcW w:type="dxa" w:w="1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Field</w:t>
            </w:r>
          </w:p>
        </w:tc>
        <w:tc>
          <w:tcPr>
            <w:tcW w:type="dxa" w:w="10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Distinct</w:t>
            </w:r>
          </w:p>
        </w:tc>
      </w:tr>
      <w:tr>
        <w:trPr>
          <w:cantSplit/>
          <w:tblHeader w:val="off"/>
        </w:trPr>
        <w:tc>
          <w:tcPr>
            <w:tcW w:type="dxa" w:w="13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PatientID</w:t>
            </w:r>
          </w:p>
        </w:tc>
        <w:tc>
          <w:tcPr>
            <w:tcW w:type="dxa" w:w="8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54</w:t>
            </w:r>
          </w:p>
        </w:tc>
        <w:tc>
          <w:tcPr>
            <w:tcW w:type="dxa" w:w="17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Slice thickness</w:t>
            </w:r>
          </w:p>
        </w:tc>
        <w:tc>
          <w:tcPr>
            <w:tcW w:type="dxa" w:w="10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12</w:t>
            </w:r>
          </w:p>
        </w:tc>
      </w:tr>
      <w:tr>
        <w:trPr>
          <w:cantSplit/>
          <w:tblHeader w:val="off"/>
        </w:trPr>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Patient age</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32</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KVP</w:t>
            </w:r>
          </w:p>
        </w:tc>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w:t>
            </w:r>
          </w:p>
        </w:tc>
      </w:tr>
      <w:tr>
        <w:trPr>
          <w:cantSplit/>
          <w:tblHeader w:val="off"/>
        </w:trPr>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Patient sex</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Pixel spacing</w:t>
            </w:r>
          </w:p>
        </w:tc>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55</w:t>
            </w:r>
          </w:p>
        </w:tc>
      </w:tr>
      <w:tr>
        <w:trPr>
          <w:cantSplit/>
          <w:tblHeader w:val="off"/>
        </w:trPr>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Manufacturer</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Contrast agent text</w:t>
            </w:r>
          </w:p>
        </w:tc>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w:t>
            </w:r>
          </w:p>
        </w:tc>
      </w:tr>
      <w:tr>
        <w:trPr>
          <w:cantSplit/>
          <w:tblHeader w:val="off"/>
        </w:trPr>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Body part</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Rows × columns</w:t>
            </w:r>
          </w:p>
        </w:tc>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 (512×512)</w:t>
            </w:r>
          </w:p>
        </w:tc>
      </w:tr>
    </w:tbl>
    <w:p>
      <w:pPr>
        <w:spacing w:after="40"/>
      </w:pPr>
    </w:p>
    <w:p>
      <w:pPr>
        <w:keepNext/>
        <w:spacing w:after="0" w:before="60"/>
        <w:jc w:val="center"/>
      </w:pPr>
      <w:r>
        <w:drawing>
          <wp:inline distT="0" distB="0" distL="0" distR="0">
            <wp:extent cx="3028950" cy="2400300"/>
            <wp:effectExtent t="0" r="0" b="0" l="0"/>
            <wp:docPr id="1" name="/tmp/rep/fig/f1_pipeline.png" descr="/tmp/rep/fig/f1_pipeline.png" title="/tmp/rep/fig/f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2400300"/>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1. End-to-end pipeline from DICOM files to out-of-fold evaluation and Grad-CAM.</w:t>
      </w:r>
    </w:p>
    <w:p>
      <w:pPr>
        <w:keepNext/>
        <w:spacing w:after="60" w:before="140"/>
        <w:jc w:val="center"/>
      </w:pPr>
      <w:r>
        <w:rPr>
          <w:rFonts w:ascii="Times New Roman" w:cs="Times New Roman" w:eastAsia="Times New Roman" w:hAnsi="Times New Roman"/>
          <w:smallCaps w:val="false"/>
          <w:sz w:val="18"/>
          <w:szCs w:val="18"/>
        </w:rPr>
        <w:t xml:space="preserve">IV. METHODOLOGY</w:t>
      </w:r>
    </w:p>
    <w:p>
      <w:pPr>
        <w:keepNext/>
        <w:spacing w:after="40" w:before="70"/>
      </w:pPr>
      <w:r>
        <w:rPr>
          <w:rFonts w:ascii="Times New Roman" w:cs="Times New Roman" w:eastAsia="Times New Roman" w:hAnsi="Times New Roman"/>
          <w:i/>
          <w:iCs/>
          <w:sz w:val="20"/>
          <w:szCs w:val="20"/>
        </w:rPr>
        <w:t xml:space="preserve">A. Preprocessing</w:t>
      </w:r>
    </w:p>
    <w:p>
      <w:pPr>
        <w:spacing w:after="70" w:line="228"/>
        <w:ind w:firstLine="200"/>
        <w:jc w:val="both"/>
      </w:pPr>
      <w:r>
        <w:rPr>
          <w:rFonts w:ascii="Times New Roman" w:cs="Times New Roman" w:eastAsia="Times New Roman" w:hAnsi="Times New Roman"/>
          <w:sz w:val="20"/>
          <w:szCs w:val="20"/>
        </w:rPr>
        <w:t xml:space="preserve">Stored pixel values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are converted to Hounsfield units and then mapped to [0, 1] by a soft-tissue window (level 40, width 400):</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HU = s·P + b</w:t>
      </w:r>
      <w:r>
        <w:rPr>
          <w:rFonts w:ascii="Times New Roman" w:cs="Times New Roman" w:eastAsia="Times New Roman" w:hAnsi="Times New Roman"/>
          <w:sz w:val="20"/>
          <w:szCs w:val="20"/>
        </w:rPr>
        <w:t xml:space="preserve">	(1)</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x = clip((HU − L)/(U − L), 0, 1)</w:t>
      </w:r>
      <w:r>
        <w:rPr>
          <w:rFonts w:ascii="Times New Roman" w:cs="Times New Roman" w:eastAsia="Times New Roman" w:hAnsi="Times New Roman"/>
          <w:sz w:val="20"/>
          <w:szCs w:val="20"/>
        </w:rPr>
        <w:t xml:space="preserve">	(2)</w:t>
      </w:r>
    </w:p>
    <w:p>
      <w:pPr>
        <w:spacing w:after="70" w:line="228"/>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the DICOM rescale slope and intercept, and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=−160 HU,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=240 HU are the window limits. The slice is resized to 224×224 by bilinear interpolation with antialiasing, replicated to three channels and standardised per channel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with the ImageNet means μ=(0.485, 0.456, 0.406) and standard deviations σ=(0.229, 0.224, 0.225):</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(x − 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(3)</w:t>
      </w:r>
    </w:p>
    <w:p>
      <w:pPr>
        <w:spacing w:after="70" w:line="228"/>
        <w:ind w:firstLine="200"/>
        <w:jc w:val="both"/>
      </w:pPr>
      <w:r>
        <w:rPr>
          <w:rFonts w:ascii="Times New Roman" w:cs="Times New Roman" w:eastAsia="Times New Roman" w:hAnsi="Times New Roman"/>
          <w:sz w:val="20"/>
          <w:szCs w:val="20"/>
        </w:rPr>
        <w:t xml:space="preserve">Training uses only horizontal flips and small affine changes (±10° rotation, 5% translation, scale 0.95–1.05). Brightness and contrast jitter are deliberately excluded, because contrast is itself an intensity effect.</w:t>
      </w:r>
    </w:p>
    <w:p>
      <w:pPr>
        <w:spacing w:after="70" w:line="228"/>
        <w:ind w:firstLine="200"/>
        <w:jc w:val="both"/>
      </w:pPr>
      <w:r>
        <w:rPr>
          <w:rFonts w:ascii="Times New Roman" w:cs="Times New Roman" w:eastAsia="Times New Roman" w:hAnsi="Times New Roman"/>
          <w:i/>
          <w:iCs/>
          <w:sz w:val="20"/>
          <w:szCs w:val="20"/>
        </w:rPr>
        <w:t xml:space="preserve">Body mask and HU descriptors.</w:t>
      </w:r>
      <w:r>
        <w:rPr>
          <w:rFonts w:ascii="Times New Roman" w:cs="Times New Roman" w:eastAsia="Times New Roman" w:hAnsi="Times New Roman"/>
          <w:sz w:val="20"/>
          <w:szCs w:val="20"/>
        </w:rPr>
        <w:t xml:space="preserve"> For the exploratory statistics and the baseline, a body mask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is obtained by thresholding at −300 HU, applying a binary opening (two iterations), keeping the largest connected component and filling its holes. The soft-tissue mean and the percentiles are then computed inside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μ</w:t>
      </w:r>
      <w:r>
        <w:rPr>
          <w:rFonts w:ascii="Times New Roman" w:cs="Times New Roman" w:eastAsia="Times New Roman" w:hAnsi="Times New Roman"/>
          <w:sz w:val="20"/>
          <w:szCs w:val="20"/>
          <w:vertAlign w:val="subscript"/>
        </w:rPr>
        <w:t xml:space="preserve">ST</w:t>
      </w:r>
      <w:r>
        <w:rPr>
          <w:rFonts w:ascii="Times New Roman" w:cs="Times New Roman" w:eastAsia="Times New Roman" w:hAnsi="Times New Roman"/>
          <w:sz w:val="20"/>
          <w:szCs w:val="20"/>
        </w:rPr>
        <w:t xml:space="preserve"> = (1/|S|) Σ</w:t>
      </w:r>
      <w:r>
        <w:rPr>
          <w:rFonts w:ascii="Times New Roman" w:cs="Times New Roman" w:eastAsia="Times New Roman" w:hAnsi="Times New Roman"/>
          <w:sz w:val="20"/>
          <w:szCs w:val="20"/>
          <w:vertAlign w:val="subscript"/>
        </w:rPr>
        <w:t xml:space="preserve">v∈S</w:t>
      </w:r>
      <w:r>
        <w:rPr>
          <w:rFonts w:ascii="Times New Roman" w:cs="Times New Roman" w:eastAsia="Times New Roman" w:hAnsi="Times New Roman"/>
          <w:sz w:val="20"/>
          <w:szCs w:val="20"/>
        </w:rPr>
        <w:t xml:space="preserve"> v</w:t>
      </w:r>
      <w:r>
        <w:rPr>
          <w:rFonts w:ascii="Times New Roman" w:cs="Times New Roman" w:eastAsia="Times New Roman" w:hAnsi="Times New Roman"/>
          <w:sz w:val="20"/>
          <w:szCs w:val="20"/>
        </w:rPr>
        <w:t xml:space="preserve">	(4)</w:t>
      </w:r>
    </w:p>
    <w:p>
      <w:pPr>
        <w:spacing w:after="70" w:line="228"/>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the set of HU values inside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that lie between −100 and 300 HU (soft tissue). Percentiles P</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 of all HU values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taken at q = 5, 25, 50, 75, 90, 95 and 99. Because contrast raises the HU of perfused tissue and vessels, μ</w:t>
      </w:r>
      <w:r>
        <w:rPr>
          <w:rFonts w:ascii="Times New Roman" w:cs="Times New Roman" w:eastAsia="Times New Roman" w:hAnsi="Times New Roman"/>
          <w:sz w:val="20"/>
          <w:szCs w:val="20"/>
          <w:vertAlign w:val="subscript"/>
        </w:rPr>
        <w:t xml:space="preserve">ST</w:t>
      </w:r>
      <w:r>
        <w:rPr>
          <w:rFonts w:ascii="Times New Roman" w:cs="Times New Roman" w:eastAsia="Times New Roman" w:hAnsi="Times New Roman"/>
          <w:sz w:val="20"/>
          <w:szCs w:val="20"/>
        </w:rPr>
        <w:t xml:space="preserve"> and P</w:t>
      </w:r>
      <w:r>
        <w:rPr>
          <w:rFonts w:ascii="Times New Roman" w:cs="Times New Roman" w:eastAsia="Times New Roman" w:hAnsi="Times New Roman"/>
          <w:sz w:val="20"/>
          <w:szCs w:val="20"/>
          <w:vertAlign w:val="subscript"/>
        </w:rPr>
        <w:t xml:space="preserve">90</w:t>
      </w:r>
      <w:r>
        <w:rPr>
          <w:rFonts w:ascii="Times New Roman" w:cs="Times New Roman" w:eastAsia="Times New Roman" w:hAnsi="Times New Roman"/>
          <w:sz w:val="20"/>
          <w:szCs w:val="20"/>
        </w:rPr>
        <w:t xml:space="preserve"> are expected to move up, while bone-dominated percentiles such as 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 are not.</w:t>
      </w:r>
    </w:p>
    <w:p>
      <w:pPr>
        <w:keepNext/>
        <w:spacing w:after="40" w:before="70"/>
      </w:pPr>
      <w:r>
        <w:rPr>
          <w:rFonts w:ascii="Times New Roman" w:cs="Times New Roman" w:eastAsia="Times New Roman" w:hAnsi="Times New Roman"/>
          <w:i/>
          <w:iCs/>
          <w:sz w:val="20"/>
          <w:szCs w:val="20"/>
        </w:rPr>
        <w:t xml:space="preserve">B. Patient-grouped cross-validation</w:t>
      </w:r>
    </w:p>
    <w:p>
      <w:pPr>
        <w:spacing w:after="70" w:line="228"/>
        <w:ind w:firstLine="200"/>
        <w:jc w:val="both"/>
      </w:pPr>
      <w:r>
        <w:rPr>
          <w:rFonts w:ascii="Times New Roman" w:cs="Times New Roman" w:eastAsia="Times New Roman" w:hAnsi="Times New Roman"/>
          <w:sz w:val="20"/>
          <w:szCs w:val="20"/>
        </w:rPr>
        <w:t xml:space="preserve">A single split of 94 images is too noisy, so we use </w:t>
      </w:r>
      <w:r>
        <w:rPr>
          <w:rFonts w:ascii="Times New Roman" w:cs="Times New Roman" w:eastAsia="Times New Roman" w:hAnsi="Times New Roman"/>
          <w:i/>
          <w:iCs/>
          <w:sz w:val="20"/>
          <w:szCs w:val="20"/>
        </w:rPr>
        <w:t xml:space="preserve">StratifiedGroupKFold</w:t>
      </w:r>
      <w:r>
        <w:rPr>
          <w:rFonts w:ascii="Times New Roman" w:cs="Times New Roman" w:eastAsia="Times New Roman" w:hAnsi="Times New Roman"/>
          <w:sz w:val="20"/>
          <w:szCs w:val="20"/>
        </w:rPr>
        <w:t xml:space="preserve"> (k=5, shuffled, seed 42) with PatientID as the group. An assertion verifies that no patient appears in both train and test of any fold. Test folds contained 24, 24, 13, 17 and 16 slices with 11, 15, 5, 6 and 10 positives. Each slice is predicted exactly once, giving an OOF score vector used for pooled ROC, confusion matrix and bootstrap intervals.</w:t>
      </w:r>
    </w:p>
    <w:p>
      <w:pPr>
        <w:keepNext/>
        <w:spacing w:after="40" w:before="70"/>
      </w:pPr>
      <w:r>
        <w:rPr>
          <w:rFonts w:ascii="Times New Roman" w:cs="Times New Roman" w:eastAsia="Times New Roman" w:hAnsi="Times New Roman"/>
          <w:i/>
          <w:iCs/>
          <w:sz w:val="20"/>
          <w:szCs w:val="20"/>
        </w:rPr>
        <w:t xml:space="preserve">C. Baselines</w:t>
      </w:r>
    </w:p>
    <w:p>
      <w:pPr>
        <w:spacing w:after="70" w:line="228"/>
        <w:ind w:firstLine="200"/>
        <w:jc w:val="both"/>
      </w:pPr>
      <w:r>
        <w:rPr>
          <w:rFonts w:ascii="Times New Roman" w:cs="Times New Roman" w:eastAsia="Times New Roman" w:hAnsi="Times New Roman"/>
          <w:i/>
          <w:iCs/>
          <w:sz w:val="20"/>
          <w:szCs w:val="20"/>
        </w:rPr>
        <w:t xml:space="preserve">HU-feature logistic regression.</w:t>
      </w:r>
      <w:r>
        <w:rPr>
          <w:rFonts w:ascii="Times New Roman" w:cs="Times New Roman" w:eastAsia="Times New Roman" w:hAnsi="Times New Roman"/>
          <w:sz w:val="20"/>
          <w:szCs w:val="20"/>
        </w:rPr>
        <w:t xml:space="preserve"> Inside the body mask we compute a 40-bin density histogram over [−200, 400] HU, seven percentiles (5, 25, 50, 75, 90, 95, 99), the mean and the standard deviation: 49 features in total. After standardisation, an L2-regularised logistic regression gives</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p(y=1|f) = σ(w</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f + b),  σ(z) = 1/(1 + e</w:t>
      </w:r>
      <w:r>
        <w:rPr>
          <w:rFonts w:ascii="Times New Roman" w:cs="Times New Roman" w:eastAsia="Times New Roman" w:hAnsi="Times New Roman"/>
          <w:sz w:val="20"/>
          <w:szCs w:val="20"/>
          <w:vertAlign w:val="superscript"/>
        </w:rPr>
        <w:t xml:space="preserve">−z</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70" w:line="228"/>
        <w:ind w:firstLine="200"/>
        <w:jc w:val="both"/>
      </w:pPr>
      <w:r>
        <w:rPr>
          <w:rFonts w:ascii="Times New Roman" w:cs="Times New Roman" w:eastAsia="Times New Roman" w:hAnsi="Times New Roman"/>
          <w:sz w:val="20"/>
          <w:szCs w:val="20"/>
        </w:rPr>
        <w:t xml:space="preserve">with inverse regularisation strength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=0.1. </w:t>
      </w:r>
      <w:r>
        <w:rPr>
          <w:rFonts w:ascii="Times New Roman" w:cs="Times New Roman" w:eastAsia="Times New Roman" w:hAnsi="Times New Roman"/>
          <w:i/>
          <w:iCs/>
          <w:sz w:val="20"/>
          <w:szCs w:val="20"/>
        </w:rPr>
        <w:t xml:space="preserve">Age-only control.</w:t>
      </w:r>
      <w:r>
        <w:rPr>
          <w:rFonts w:ascii="Times New Roman" w:cs="Times New Roman" w:eastAsia="Times New Roman" w:hAnsi="Times New Roman"/>
          <w:sz w:val="20"/>
          <w:szCs w:val="20"/>
        </w:rPr>
        <w:t xml:space="preserve"> The same classifier is fitted on age alone; a high score would mean age is confounded with the label.</w:t>
      </w:r>
    </w:p>
    <w:p>
      <w:pPr>
        <w:keepNext/>
        <w:spacing w:after="40" w:before="70"/>
      </w:pPr>
      <w:r>
        <w:rPr>
          <w:rFonts w:ascii="Times New Roman" w:cs="Times New Roman" w:eastAsia="Times New Roman" w:hAnsi="Times New Roman"/>
          <w:i/>
          <w:iCs/>
          <w:sz w:val="20"/>
          <w:szCs w:val="20"/>
        </w:rPr>
        <w:t xml:space="preserve">D. Deep models</w:t>
      </w:r>
    </w:p>
    <w:p>
      <w:pPr>
        <w:spacing w:after="70" w:line="228"/>
        <w:ind w:firstLine="200"/>
        <w:jc w:val="both"/>
      </w:pPr>
      <w:r>
        <w:rPr>
          <w:rFonts w:ascii="Times New Roman" w:cs="Times New Roman" w:eastAsia="Times New Roman" w:hAnsi="Times New Roman"/>
          <w:i/>
          <w:iCs/>
          <w:sz w:val="20"/>
          <w:szCs w:val="20"/>
        </w:rPr>
        <w:t xml:space="preserve">SmallCNN</w:t>
      </w:r>
      <w:r>
        <w:rPr>
          <w:rFonts w:ascii="Times New Roman" w:cs="Times New Roman" w:eastAsia="Times New Roman" w:hAnsi="Times New Roman"/>
          <w:sz w:val="20"/>
          <w:szCs w:val="20"/>
        </w:rPr>
        <w:t xml:space="preserve"> (≈98 k parameters) stacks four blocks of 3×3 convolution, batch normalisation, ReLU and 2×2 max-pooling with 16, 32, 64 and 128 channels, followed by global average pooling, dropout 0.3 and a single linear unit (Fig. 2a). </w:t>
      </w:r>
      <w:r>
        <w:rPr>
          <w:rFonts w:ascii="Times New Roman" w:cs="Times New Roman" w:eastAsia="Times New Roman" w:hAnsi="Times New Roman"/>
          <w:i/>
          <w:iCs/>
          <w:sz w:val="20"/>
          <w:szCs w:val="20"/>
        </w:rPr>
        <w:t xml:space="preserve">ResNet18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is loaded with ImageNet weights and its 1000-way classifier is replaced by Linear(512, 1) (≈11.2 M parameters, Fig. 2b); all layers are fine-tuned. Both output one logit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per slice.</w:t>
      </w:r>
    </w:p>
    <w:p>
      <w:pPr>
        <w:keepNext/>
        <w:spacing w:after="0" w:before="60"/>
        <w:jc w:val="center"/>
      </w:pPr>
      <w:r>
        <w:drawing>
          <wp:inline distT="0" distB="0" distL="0" distR="0">
            <wp:extent cx="2762250" cy="2781300"/>
            <wp:effectExtent t="0" r="0" b="0" l="0"/>
            <wp:docPr id="2" name="/tmp/rep/fig/f2_arch.png" descr="/tmp/rep/fig/f2_arch.png" title="/tmp/rep/fig/f2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781300"/>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2. (a) SmallCNN and (b) ResNet18 with a single-logit head.</w:t>
      </w:r>
    </w:p>
    <w:p>
      <w:pPr>
        <w:keepNext/>
        <w:spacing w:after="40" w:before="70"/>
      </w:pPr>
      <w:r>
        <w:rPr>
          <w:rFonts w:ascii="Times New Roman" w:cs="Times New Roman" w:eastAsia="Times New Roman" w:hAnsi="Times New Roman"/>
          <w:i/>
          <w:iCs/>
          <w:sz w:val="20"/>
          <w:szCs w:val="20"/>
        </w:rPr>
        <w:t xml:space="preserve">E. Training objective</w:t>
      </w:r>
    </w:p>
    <w:p>
      <w:pPr>
        <w:spacing w:after="70" w:line="228"/>
        <w:ind w:firstLine="200"/>
        <w:jc w:val="both"/>
      </w:pPr>
      <w:r>
        <w:rPr>
          <w:rFonts w:ascii="Times New Roman" w:cs="Times New Roman" w:eastAsia="Times New Roman" w:hAnsi="Times New Roman"/>
          <w:sz w:val="20"/>
          <w:szCs w:val="20"/>
        </w:rPr>
        <w:t xml:space="preserve">Models minimise binary cross-entropy on logits, with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equal to 0 or 1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=σ(</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ℒ = −(1/N)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log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(1 − 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log(1 −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spacing w:after="70" w:line="228"/>
        <w:ind w:firstLine="200"/>
        <w:jc w:val="both"/>
      </w:pPr>
      <w:r>
        <w:rPr>
          <w:rFonts w:ascii="Times New Roman" w:cs="Times New Roman" w:eastAsia="Times New Roman" w:hAnsi="Times New Roman"/>
          <w:sz w:val="20"/>
          <w:szCs w:val="20"/>
        </w:rPr>
        <w:t xml:space="preserve">AdamW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updates weights with decoupled decay λ, where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are bias-corrected moment estimates:</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 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η</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m̂</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/(√v̂</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ε) + λθ</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(7)</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η</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½ η</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(1 + cos(π t/T))</w:t>
      </w:r>
      <w:r>
        <w:rPr>
          <w:rFonts w:ascii="Times New Roman" w:cs="Times New Roman" w:eastAsia="Times New Roman" w:hAnsi="Times New Roman"/>
          <w:sz w:val="20"/>
          <w:szCs w:val="20"/>
        </w:rPr>
        <w:t xml:space="preserve">	(8)</w:t>
      </w:r>
    </w:p>
    <w:p>
      <w:pPr>
        <w:spacing w:after="70" w:line="228"/>
        <w:ind w:firstLine="200"/>
        <w:jc w:val="both"/>
      </w:pPr>
      <w:r>
        <w:rPr>
          <w:rFonts w:ascii="Times New Roman" w:cs="Times New Roman" w:eastAsia="Times New Roman" w:hAnsi="Times New Roman"/>
          <w:sz w:val="20"/>
          <w:szCs w:val="20"/>
        </w:rPr>
        <w:t xml:space="preserve">Eq. (8) is the cosine-annealing schedule 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equal to the number of epochs. The number of epochs is fixed in advance, so the held-out fold is never used to choose a checkpoint.</w:t>
      </w:r>
    </w:p>
    <w:p>
      <w:pPr>
        <w:keepNext/>
        <w:spacing w:after="40" w:before="70"/>
      </w:pPr>
      <w:r>
        <w:rPr>
          <w:rFonts w:ascii="Times New Roman" w:cs="Times New Roman" w:eastAsia="Times New Roman" w:hAnsi="Times New Roman"/>
          <w:i/>
          <w:iCs/>
          <w:sz w:val="20"/>
          <w:szCs w:val="20"/>
        </w:rPr>
        <w:t xml:space="preserve">F. Metrics and uncertainty</w:t>
      </w:r>
    </w:p>
    <w:p>
      <w:pPr>
        <w:spacing w:after="70" w:line="228"/>
        <w:ind w:firstLine="200"/>
        <w:jc w:val="both"/>
      </w:pPr>
      <w:r>
        <w:rPr>
          <w:rFonts w:ascii="Times New Roman" w:cs="Times New Roman" w:eastAsia="Times New Roman" w:hAnsi="Times New Roman"/>
          <w:sz w:val="20"/>
          <w:szCs w:val="20"/>
        </w:rPr>
        <w:t xml:space="preserve">At threshold 0.5 we report accuracy, precision, recall and F1,</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Acc = (TP+TN)/N,  Prec = TP/(TP+FP)</w:t>
      </w:r>
      <w:r>
        <w:rPr>
          <w:rFonts w:ascii="Times New Roman" w:cs="Times New Roman" w:eastAsia="Times New Roman" w:hAnsi="Times New Roman"/>
          <w:sz w:val="20"/>
          <w:szCs w:val="20"/>
        </w:rPr>
        <w:t xml:space="preserve">	(9)</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 = TP/(TP+FN),  F1 = 2·Prec·Rec/(Prec+Rec)</w:t>
      </w:r>
      <w:r>
        <w:rPr>
          <w:rFonts w:ascii="Times New Roman" w:cs="Times New Roman" w:eastAsia="Times New Roman" w:hAnsi="Times New Roman"/>
          <w:sz w:val="20"/>
          <w:szCs w:val="20"/>
        </w:rPr>
        <w:t xml:space="preserve">	(10)</w:t>
      </w:r>
    </w:p>
    <w:p>
      <w:pPr>
        <w:spacing w:after="70" w:line="228"/>
        <w:ind w:firstLine="200"/>
        <w:jc w:val="both"/>
      </w:pPr>
      <w:r>
        <w:rPr>
          <w:rFonts w:ascii="Times New Roman" w:cs="Times New Roman" w:eastAsia="Times New Roman" w:hAnsi="Times New Roman"/>
          <w:sz w:val="20"/>
          <w:szCs w:val="20"/>
        </w:rPr>
        <w:t xml:space="preserve">and the ROC AUC, which equals the probability that a random positive outscores a random negative:</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AUC = P(s</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&gt; s</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½ P(s</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s</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(11)</w:t>
      </w:r>
    </w:p>
    <w:p>
      <w:pPr>
        <w:spacing w:after="70" w:line="228"/>
        <w:ind w:firstLine="200"/>
        <w:jc w:val="both"/>
      </w:pPr>
      <w:r>
        <w:rPr>
          <w:rFonts w:ascii="Times New Roman" w:cs="Times New Roman" w:eastAsia="Times New Roman" w:hAnsi="Times New Roman"/>
          <w:sz w:val="20"/>
          <w:szCs w:val="20"/>
        </w:rPr>
        <w:t xml:space="preserve">Fold-wise values are summarised as mean ± SD. For pooled OOF AUC we draw 2,000 bootstrap resamples of </w:t>
      </w:r>
      <w:r>
        <w:rPr>
          <w:rFonts w:ascii="Times New Roman" w:cs="Times New Roman" w:eastAsia="Times New Roman" w:hAnsi="Times New Roman"/>
          <w:i/>
          <w:iCs/>
          <w:sz w:val="20"/>
          <w:szCs w:val="20"/>
        </w:rPr>
        <w:t xml:space="preserve">patients</w:t>
      </w:r>
      <w:r>
        <w:rPr>
          <w:rFonts w:ascii="Times New Roman" w:cs="Times New Roman" w:eastAsia="Times New Roman" w:hAnsi="Times New Roman"/>
          <w:sz w:val="20"/>
          <w:szCs w:val="20"/>
        </w:rPr>
        <w:t xml:space="preserve"> (not slices) with replacement and report the 2.5–97.5 percentile interval, which respects the clustering of slices within patients.</w:t>
      </w:r>
    </w:p>
    <w:p>
      <w:pPr>
        <w:keepNext/>
        <w:spacing w:after="40" w:before="70"/>
      </w:pPr>
      <w:r>
        <w:rPr>
          <w:rFonts w:ascii="Times New Roman" w:cs="Times New Roman" w:eastAsia="Times New Roman" w:hAnsi="Times New Roman"/>
          <w:i/>
          <w:iCs/>
          <w:sz w:val="20"/>
          <w:szCs w:val="20"/>
        </w:rPr>
        <w:t xml:space="preserve">G. Algorithm summary</w:t>
      </w:r>
    </w:p>
    <w:p>
      <w:pPr>
        <w:spacing w:after="70" w:line="228"/>
        <w:ind w:firstLine="200"/>
        <w:jc w:val="both"/>
      </w:pPr>
      <w:r>
        <w:rPr>
          <w:rFonts w:ascii="Times New Roman" w:cs="Times New Roman" w:eastAsia="Times New Roman" w:hAnsi="Times New Roman"/>
          <w:i/>
          <w:iCs/>
          <w:sz w:val="20"/>
          <w:szCs w:val="20"/>
        </w:rPr>
        <w:t xml:space="preserve">Algorithm 1 (one cross-validation run).</w:t>
      </w:r>
      <w:r>
        <w:rPr>
          <w:rFonts w:ascii="Times New Roman" w:cs="Times New Roman" w:eastAsia="Times New Roman" w:hAnsi="Times New Roman"/>
          <w:sz w:val="20"/>
          <w:szCs w:val="20"/>
        </w:rPr>
        <w:t xml:space="preserve"> (1) Read each DICOM, convert to HU by Eq. (1), drop exact duplicates. (2) Window by Eq. (2), resize, replicate and normalise by Eq. (3). (3) Build five stratified folds grouped by PatientID and assert that no patient crosses the train/test boundary. (4) For fold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set the seed to 42+</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initialise the model, and train for the fixed number of epochs with AdamW, cosine decay and mini-batches of 16 (the last batch is dropped only if it would contain a single sample, which breaks batch normalisation). (5) Predict the held-out fold, store the probabilities in the OOF vector and the fold metrics. (6) After all folds, compute pooled ROC, confusion matrix and the patient-level bootstrap interval; keep the fold-0 model for Grad-CAM.</w:t>
      </w:r>
    </w:p>
    <w:p>
      <w:pPr>
        <w:keepNext/>
        <w:spacing w:after="40" w:before="70"/>
      </w:pPr>
      <w:r>
        <w:rPr>
          <w:rFonts w:ascii="Times New Roman" w:cs="Times New Roman" w:eastAsia="Times New Roman" w:hAnsi="Times New Roman"/>
          <w:i/>
          <w:iCs/>
          <w:sz w:val="20"/>
          <w:szCs w:val="20"/>
        </w:rPr>
        <w:t xml:space="preserve">H. Grad-CAM</w:t>
      </w:r>
    </w:p>
    <w:p>
      <w:pPr>
        <w:spacing w:after="70" w:line="228"/>
        <w:ind w:firstLine="200"/>
        <w:jc w:val="both"/>
      </w:pPr>
      <w:r>
        <w:rPr>
          <w:rFonts w:ascii="Times New Roman" w:cs="Times New Roman" w:eastAsia="Times New Roman" w:hAnsi="Times New Roman"/>
          <w:sz w:val="20"/>
          <w:szCs w:val="20"/>
        </w:rPr>
        <w:t xml:space="preserve">For the fold-0 ResNet18, Grad-CAM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weights the </w:t>
      </w:r>
      <w:r>
        <w:rPr>
          <w:rFonts w:ascii="Times New Roman" w:cs="Times New Roman" w:eastAsia="Times New Roman" w:hAnsi="Times New Roman"/>
          <w:i/>
          <w:iCs/>
          <w:sz w:val="20"/>
          <w:szCs w:val="20"/>
        </w:rPr>
        <w:t xml:space="preserve">layer4</w:t>
      </w:r>
      <w:r>
        <w:rPr>
          <w:rFonts w:ascii="Times New Roman" w:cs="Times New Roman" w:eastAsia="Times New Roman" w:hAnsi="Times New Roman"/>
          <w:sz w:val="20"/>
          <w:szCs w:val="20"/>
        </w:rPr>
        <w:t xml:space="preserve"> activations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 by their spatially averaged gradients of the logit:</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α</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(1/Z) Σ</w:t>
      </w:r>
      <w:r>
        <w:rPr>
          <w:rFonts w:ascii="Times New Roman" w:cs="Times New Roman" w:eastAsia="Times New Roman" w:hAnsi="Times New Roman"/>
          <w:sz w:val="20"/>
          <w:szCs w:val="20"/>
          <w:vertAlign w:val="subscript"/>
        </w:rPr>
        <w:t xml:space="preserve">i,j</w:t>
      </w:r>
      <w:r>
        <w:rPr>
          <w:rFonts w:ascii="Times New Roman" w:cs="Times New Roman" w:eastAsia="Times New Roman" w:hAnsi="Times New Roman"/>
          <w:sz w:val="20"/>
          <w:szCs w:val="20"/>
        </w:rPr>
        <w:t xml:space="preserve"> ∂z/∂A</w:t>
      </w:r>
      <w:r>
        <w:rPr>
          <w:rFonts w:ascii="Times New Roman" w:cs="Times New Roman" w:eastAsia="Times New Roman" w:hAnsi="Times New Roman"/>
          <w:sz w:val="20"/>
          <w:szCs w:val="20"/>
          <w:vertAlign w:val="subscript"/>
        </w:rPr>
        <w:t xml:space="preserve">ij</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	(12)</w:t>
      </w:r>
    </w:p>
    <w:p>
      <w:pPr>
        <w:tabs>
          <w:tab w:val="center" w:pos="2300"/>
          <w:tab w:val="right" w:pos="4860"/>
        </w:tabs>
        <w:spacing w:after="5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 = ReLU(Σ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α</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(13)</w:t>
      </w:r>
    </w:p>
    <w:p>
      <w:pPr>
        <w:spacing w:after="70" w:line="228"/>
        <w:ind w:firstLine="200"/>
        <w:jc w:val="both"/>
      </w:pPr>
      <w:r>
        <w:rPr>
          <w:rFonts w:ascii="Times New Roman" w:cs="Times New Roman" w:eastAsia="Times New Roman" w:hAnsi="Times New Roman"/>
          <w:sz w:val="20"/>
          <w:szCs w:val="20"/>
        </w:rPr>
        <w:t xml:space="preserve">The map is upsampled to 224×224 and min–max normalised before overlay.</w:t>
      </w:r>
    </w:p>
    <w:p>
      <w:pPr>
        <w:keepNext/>
        <w:spacing w:after="60" w:before="140"/>
        <w:jc w:val="center"/>
      </w:pPr>
      <w:r>
        <w:rPr>
          <w:rFonts w:ascii="Times New Roman" w:cs="Times New Roman" w:eastAsia="Times New Roman" w:hAnsi="Times New Roman"/>
          <w:smallCaps w:val="false"/>
          <w:sz w:val="18"/>
          <w:szCs w:val="18"/>
        </w:rPr>
        <w:t xml:space="preserve">V. EXPERIMENTAL SETUP</w:t>
      </w:r>
    </w:p>
    <w:p>
      <w:pPr>
        <w:spacing w:after="70" w:line="228"/>
        <w:ind w:firstLine="200"/>
        <w:jc w:val="both"/>
      </w:pPr>
      <w:r>
        <w:rPr>
          <w:rFonts w:ascii="Times New Roman" w:cs="Times New Roman" w:eastAsia="Times New Roman" w:hAnsi="Times New Roman"/>
          <w:sz w:val="20"/>
          <w:szCs w:val="20"/>
        </w:rPr>
        <w:t xml:space="preserve">Code is written in Python with PyTorch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torchvision, scikit-learn, pydicom, SciPy and seaborn, and was run top-to-bottom in Google Colab. The execution log shows the </w:t>
      </w:r>
      <w:r>
        <w:rPr>
          <w:rFonts w:ascii="Times New Roman" w:cs="Times New Roman" w:eastAsia="Times New Roman" w:hAnsi="Times New Roman"/>
          <w:i/>
          <w:iCs/>
          <w:sz w:val="20"/>
          <w:szCs w:val="20"/>
        </w:rPr>
        <w:t xml:space="preserve">CPU</w:t>
      </w:r>
      <w:r>
        <w:rPr>
          <w:rFonts w:ascii="Times New Roman" w:cs="Times New Roman" w:eastAsia="Times New Roman" w:hAnsi="Times New Roman"/>
          <w:sz w:val="20"/>
          <w:szCs w:val="20"/>
        </w:rPr>
        <w:t xml:space="preserve"> device, so no GPU was used for the reported numbers; seeds are set per fold (42+</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for repeatability. Table III lists all hyperparameters.</w:t>
      </w:r>
    </w:p>
    <w:p>
      <w:pPr>
        <w:keepNext/>
        <w:spacing w:after="40" w:before="80"/>
        <w:jc w:val="center"/>
      </w:pPr>
      <w:r>
        <w:rPr>
          <w:rFonts w:ascii="Times New Roman" w:cs="Times New Roman" w:eastAsia="Times New Roman" w:hAnsi="Times New Roman"/>
          <w:sz w:val="16"/>
          <w:szCs w:val="16"/>
        </w:rPr>
        <w:t xml:space="preserve">TABLE III. HYPERPARAMETERS AND SETTINGS</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0"/>
        <w:gridCol w:w="1300"/>
        <w:gridCol w:w="1250"/>
        <w:gridCol w:w="1250"/>
      </w:tblGrid>
      <w:tr>
        <w:trPr>
          <w:cantSplit/>
          <w:tblHeader/>
        </w:trPr>
        <w:tc>
          <w:tcPr>
            <w:tcW w:type="dxa" w:w="10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Item</w:t>
            </w:r>
          </w:p>
        </w:tc>
        <w:tc>
          <w:tcPr>
            <w:tcW w:type="dxa" w:w="1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HU + LR</w:t>
            </w:r>
          </w:p>
        </w:tc>
        <w:tc>
          <w:tcPr>
            <w:tcW w:type="dxa" w:w="12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SmallCNN</w:t>
            </w:r>
          </w:p>
        </w:tc>
        <w:tc>
          <w:tcPr>
            <w:tcW w:type="dxa" w:w="12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ResNet18</w:t>
            </w:r>
          </w:p>
        </w:tc>
      </w:tr>
      <w:tr>
        <w:trPr>
          <w:cantSplit/>
          <w:tblHeader w:val="off"/>
        </w:trPr>
        <w:tc>
          <w:tcPr>
            <w:tcW w:type="dxa" w:w="10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Input</w:t>
            </w:r>
          </w:p>
        </w:tc>
        <w:tc>
          <w:tcPr>
            <w:tcW w:type="dxa" w:w="13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49 HU features</w:t>
            </w:r>
          </w:p>
        </w:tc>
        <w:tc>
          <w:tcPr>
            <w:tcW w:type="dxa" w:w="12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3×224×224</w:t>
            </w:r>
          </w:p>
        </w:tc>
        <w:tc>
          <w:tcPr>
            <w:tcW w:type="dxa" w:w="12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3×224×224</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Init.</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Random</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ImageNet</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Optimiser</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L-BFGS (sklearn)</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AdamW</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AdamW</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Learning rate</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1e−3</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1e−4</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Weight decay / C</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 = 0.1</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1e−4</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1e−4</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Epochs</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30</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15</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Batch size</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16</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16</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Schedule</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Cosine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Cosine</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Loss</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Log-loss</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BCE-logits</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BCE-logits</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Augmentation</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Flip + affine</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Flip + affine</w:t>
            </w:r>
          </w:p>
        </w:tc>
      </w:tr>
      <w:tr>
        <w:trPr>
          <w:cantSplit/>
          <w:tblHeader w:val="off"/>
        </w:trPr>
        <w:tc>
          <w:tcPr>
            <w:tcW w:type="dxa" w:w="10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CV seeds</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42 + fold</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42 + fold</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42 + fold</w:t>
            </w:r>
          </w:p>
        </w:tc>
      </w:tr>
    </w:tbl>
    <w:p>
      <w:pPr>
        <w:spacing w:after="40"/>
      </w:pPr>
    </w:p>
    <w:p>
      <w:pPr>
        <w:keepNext/>
        <w:spacing w:after="60" w:before="140"/>
        <w:jc w:val="center"/>
      </w:pPr>
      <w:r>
        <w:rPr>
          <w:rFonts w:ascii="Times New Roman" w:cs="Times New Roman" w:eastAsia="Times New Roman" w:hAnsi="Times New Roman"/>
          <w:smallCaps w:val="false"/>
          <w:sz w:val="18"/>
          <w:szCs w:val="18"/>
        </w:rPr>
        <w:t xml:space="preserve">VI. RESULTS AND ANALYSIS</w:t>
      </w:r>
    </w:p>
    <w:p>
      <w:pPr>
        <w:spacing w:after="70" w:line="228"/>
        <w:ind w:firstLine="200"/>
        <w:jc w:val="both"/>
      </w:pPr>
      <w:r>
        <w:rPr>
          <w:rFonts w:ascii="Times New Roman" w:cs="Times New Roman" w:eastAsia="Times New Roman" w:hAnsi="Times New Roman"/>
          <w:sz w:val="20"/>
          <w:szCs w:val="20"/>
        </w:rPr>
        <w:t xml:space="preserve">Table IV gives fold-wise mean ± SD and the pooled OOF AUC. The HU-feature baseline reached 0.871 accuracy and 0.959 mean fold AUC, ResNet18 reached 0.851 accuracy and 0.984 mean fold AUC, and SmallCNN 0.812 and 0.935. The age-only control stays near chance (OOF AUC 0.543, interval 0.398–0.683), which argues against age as a shortcut. Pooled OOF AUCs of the three image-based models are 0.952, 0.948 and 0.902 with overlapping intervals.</w:t>
      </w:r>
    </w:p>
    <w:p>
      <w:pPr>
        <w:keepNext/>
        <w:spacing w:after="40" w:before="80"/>
        <w:jc w:val="center"/>
      </w:pPr>
      <w:r>
        <w:rPr>
          <w:rFonts w:ascii="Times New Roman" w:cs="Times New Roman" w:eastAsia="Times New Roman" w:hAnsi="Times New Roman"/>
          <w:sz w:val="16"/>
          <w:szCs w:val="16"/>
        </w:rPr>
        <w:t xml:space="preserve">TABLE IV. FIVE-FOLD RESULTS (MEAN ± SD) AND POOLED OOF AUC</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780"/>
        <w:gridCol w:w="860"/>
        <w:gridCol w:w="860"/>
        <w:gridCol w:w="860"/>
        <w:gridCol w:w="1440"/>
      </w:tblGrid>
      <w:tr>
        <w:trPr>
          <w:cantSplit/>
          <w:tblHeader/>
        </w:trPr>
        <w:tc>
          <w:tcPr>
            <w:tcW w:type="dxa" w:w="7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Model</w:t>
            </w:r>
          </w:p>
        </w:tc>
        <w:tc>
          <w:tcPr>
            <w:tcW w:type="dxa" w:w="8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Acc</w:t>
            </w:r>
          </w:p>
        </w:tc>
        <w:tc>
          <w:tcPr>
            <w:tcW w:type="dxa" w:w="8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Rec</w:t>
            </w:r>
          </w:p>
        </w:tc>
        <w:tc>
          <w:tcPr>
            <w:tcW w:type="dxa" w:w="8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F1</w:t>
            </w:r>
          </w:p>
        </w:tc>
        <w:tc>
          <w:tcPr>
            <w:tcW w:type="dxa" w:w="14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OOF AUC [95% CI]</w:t>
            </w:r>
          </w:p>
        </w:tc>
      </w:tr>
      <w:tr>
        <w:trPr>
          <w:cantSplit/>
          <w:tblHeader w:val="off"/>
        </w:trPr>
        <w:tc>
          <w:tcPr>
            <w:tcW w:type="dxa" w:w="7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HU + LR</w:t>
            </w:r>
          </w:p>
        </w:tc>
        <w:tc>
          <w:tcPr>
            <w:tcW w:type="dxa" w:w="8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.871±.033</w:t>
            </w:r>
          </w:p>
        </w:tc>
        <w:tc>
          <w:tcPr>
            <w:tcW w:type="dxa" w:w="8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.833±.100</w:t>
            </w:r>
          </w:p>
        </w:tc>
        <w:tc>
          <w:tcPr>
            <w:tcW w:type="dxa" w:w="8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.857±.046</w:t>
            </w:r>
          </w:p>
        </w:tc>
        <w:tc>
          <w:tcPr>
            <w:tcW w:type="dxa" w:w="144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.952 [.905, .985]</w:t>
            </w:r>
          </w:p>
        </w:tc>
      </w:tr>
      <w:tr>
        <w:trPr>
          <w:cantSplit/>
          <w:tblHeader w:val="off"/>
        </w:trPr>
        <w:tc>
          <w:tcPr>
            <w:tcW w:type="dxa" w:w="7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Age only</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.583±.100</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.555±.233</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.544±.118</w:t>
            </w:r>
          </w:p>
        </w:tc>
        <w:tc>
          <w:tcPr>
            <w:tcW w:type="dxa" w:w="14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.543 [.398, .683]</w:t>
            </w:r>
          </w:p>
        </w:tc>
      </w:tr>
      <w:tr>
        <w:trPr>
          <w:cantSplit/>
          <w:tblHeader w:val="off"/>
        </w:trPr>
        <w:tc>
          <w:tcPr>
            <w:tcW w:type="dxa" w:w="7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SmallCNN</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.812±.099</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.760±.196</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.797±.099</w:t>
            </w:r>
          </w:p>
        </w:tc>
        <w:tc>
          <w:tcPr>
            <w:tcW w:type="dxa" w:w="14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.902 [.838, .959]</w:t>
            </w:r>
          </w:p>
        </w:tc>
      </w:tr>
      <w:tr>
        <w:trPr>
          <w:cantSplit/>
          <w:tblHeader w:val="off"/>
        </w:trPr>
        <w:tc>
          <w:tcPr>
            <w:tcW w:type="dxa" w:w="7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ResNet18</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.851±.096</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.868±.155</w:t>
            </w:r>
          </w:p>
        </w:tc>
        <w:tc>
          <w:tcPr>
            <w:tcW w:type="dxa" w:w="8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.836±.110</w:t>
            </w:r>
          </w:p>
        </w:tc>
        <w:tc>
          <w:tcPr>
            <w:tcW w:type="dxa" w:w="14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.948 [.899, .985]</w:t>
            </w:r>
          </w:p>
        </w:tc>
      </w:tr>
    </w:tbl>
    <w:p>
      <w:pPr>
        <w:spacing w:after="40"/>
      </w:pPr>
    </w:p>
    <w:p>
      <w:pPr>
        <w:keepNext/>
        <w:spacing w:after="0" w:before="60"/>
        <w:jc w:val="center"/>
      </w:pPr>
      <w:r>
        <w:drawing>
          <wp:inline distT="0" distB="0" distL="0" distR="0">
            <wp:extent cx="3028950" cy="2019300"/>
            <wp:effectExtent t="0" r="0" b="0" l="0"/>
            <wp:docPr id="3" name="/tmp/rep/fig/f4_metrics.png" descr="/tmp/rep/fig/f4_metrics.png" title="/tmp/rep/fig/f4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2019300"/>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3. Fold-wise mean ± SD of each metric for the four models.</w:t>
      </w:r>
    </w:p>
    <w:p>
      <w:pPr>
        <w:keepNext/>
        <w:spacing w:after="40" w:before="80"/>
        <w:jc w:val="center"/>
      </w:pPr>
      <w:r>
        <w:rPr>
          <w:rFonts w:ascii="Times New Roman" w:cs="Times New Roman" w:eastAsia="Times New Roman" w:hAnsi="Times New Roman"/>
          <w:sz w:val="16"/>
          <w:szCs w:val="16"/>
        </w:rPr>
        <w:t xml:space="preserve">TABLE V. PER-FOLD RESULTS OF THE DEEP MODELS</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480"/>
        <w:gridCol w:w="880"/>
        <w:gridCol w:w="580"/>
        <w:gridCol w:w="580"/>
        <w:gridCol w:w="580"/>
        <w:gridCol w:w="560"/>
        <w:gridCol w:w="560"/>
        <w:gridCol w:w="580"/>
      </w:tblGrid>
      <w:tr>
        <w:trPr>
          <w:cantSplit/>
          <w:tblHeader/>
        </w:trPr>
        <w:tc>
          <w:tcPr>
            <w:tcW w:type="dxa" w:w="4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Fold</w:t>
            </w:r>
          </w:p>
        </w:tc>
        <w:tc>
          <w:tcPr>
            <w:tcW w:type="dxa" w:w="8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Test n (pos)</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S-CNN Acc</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S-CNN Rec</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S-CNN AUC</w:t>
            </w:r>
          </w:p>
        </w:tc>
        <w:tc>
          <w:tcPr>
            <w:tcW w:type="dxa" w:w="5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R18 Acc</w:t>
            </w:r>
          </w:p>
        </w:tc>
        <w:tc>
          <w:tcPr>
            <w:tcW w:type="dxa" w:w="5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R18 Rec</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R18 AUC</w:t>
            </w:r>
          </w:p>
        </w:tc>
      </w:tr>
      <w:tr>
        <w:trPr>
          <w:cantSplit/>
          <w:tblHeader w:val="off"/>
        </w:trPr>
        <w:tc>
          <w:tcPr>
            <w:tcW w:type="dxa" w:w="4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0</w:t>
            </w:r>
          </w:p>
        </w:tc>
        <w:tc>
          <w:tcPr>
            <w:tcW w:type="dxa" w:w="8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24 (11)</w:t>
            </w:r>
          </w:p>
        </w:tc>
        <w:tc>
          <w:tcPr>
            <w:tcW w:type="dxa" w:w="5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.792</w:t>
            </w:r>
          </w:p>
        </w:tc>
        <w:tc>
          <w:tcPr>
            <w:tcW w:type="dxa" w:w="5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1.000</w:t>
            </w:r>
          </w:p>
        </w:tc>
        <w:tc>
          <w:tcPr>
            <w:tcW w:type="dxa" w:w="5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.909</w:t>
            </w:r>
          </w:p>
        </w:tc>
        <w:tc>
          <w:tcPr>
            <w:tcW w:type="dxa" w:w="5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.750</w:t>
            </w:r>
          </w:p>
        </w:tc>
        <w:tc>
          <w:tcPr>
            <w:tcW w:type="dxa" w:w="56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.909</w:t>
            </w:r>
          </w:p>
        </w:tc>
        <w:tc>
          <w:tcPr>
            <w:tcW w:type="dxa" w:w="58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.951</w:t>
            </w:r>
          </w:p>
        </w:tc>
      </w:tr>
      <w:tr>
        <w:trPr>
          <w:cantSplit/>
          <w:tblHeader w:val="off"/>
        </w:trPr>
        <w:tc>
          <w:tcPr>
            <w:tcW w:type="dxa" w:w="4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1</w:t>
            </w:r>
          </w:p>
        </w:tc>
        <w:tc>
          <w:tcPr>
            <w:tcW w:type="dxa" w:w="8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24 (15)</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.667</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.467</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.956</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.958</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.933</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.970</w:t>
            </w:r>
          </w:p>
        </w:tc>
      </w:tr>
      <w:tr>
        <w:trPr>
          <w:cantSplit/>
          <w:tblHeader w:val="off"/>
        </w:trPr>
        <w:tc>
          <w:tcPr>
            <w:tcW w:type="dxa" w:w="4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2</w:t>
            </w:r>
          </w:p>
        </w:tc>
        <w:tc>
          <w:tcPr>
            <w:tcW w:type="dxa" w:w="8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13 (5)</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.846</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.800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.875</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.846</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.600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1.000</w:t>
            </w:r>
          </w:p>
        </w:tc>
      </w:tr>
      <w:tr>
        <w:trPr>
          <w:cantSplit/>
          <w:tblHeader w:val="off"/>
        </w:trPr>
        <w:tc>
          <w:tcPr>
            <w:tcW w:type="dxa" w:w="4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3</w:t>
            </w:r>
          </w:p>
        </w:tc>
        <w:tc>
          <w:tcPr>
            <w:tcW w:type="dxa" w:w="8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17 (6)</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.941</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.833</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.985</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.765</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1.000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1.000</w:t>
            </w:r>
          </w:p>
        </w:tc>
      </w:tr>
      <w:tr>
        <w:trPr>
          <w:cantSplit/>
          <w:tblHeader w:val="off"/>
        </w:trPr>
        <w:tc>
          <w:tcPr>
            <w:tcW w:type="dxa" w:w="4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4</w:t>
            </w:r>
          </w:p>
        </w:tc>
        <w:tc>
          <w:tcPr>
            <w:tcW w:type="dxa" w:w="8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16 (10)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.812</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.700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.950</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.938</w:t>
            </w:r>
          </w:p>
        </w:tc>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.900</w:t>
            </w:r>
          </w:p>
        </w:tc>
        <w:tc>
          <w:tcPr>
            <w:tcW w:type="dxa" w:w="58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1.000</w:t>
            </w:r>
          </w:p>
        </w:tc>
      </w:tr>
    </w:tbl>
    <w:p>
      <w:pPr>
        <w:spacing w:after="40"/>
      </w:pPr>
    </w:p>
    <w:p>
      <w:pPr>
        <w:spacing w:after="70" w:line="228"/>
        <w:ind w:firstLine="200"/>
        <w:jc w:val="both"/>
      </w:pPr>
      <w:r>
        <w:rPr>
          <w:rFonts w:ascii="Times New Roman" w:cs="Times New Roman" w:eastAsia="Times New Roman" w:hAnsi="Times New Roman"/>
          <w:sz w:val="20"/>
          <w:szCs w:val="20"/>
        </w:rPr>
        <w:t xml:space="preserve">ResNet18 attains per-fold AUC of 1.000 in three folds (Fig. 4), yet its pooled OOF AUC is 0.948. Both facts are consistent: each fold ranks its own slices almost perfectly, but score scales differ between independently trained fold models, so pooling the scores mixes them. Accuracy is lower than AUC because the fixed 0.5 threshold is not tuned; for example, fold 3 has recall 1.000 but precision 0.600. SmallCNN fold 1 has precision 1.000 and recall 0.467, again a threshold effect.</w:t>
      </w:r>
    </w:p>
    <w:p>
      <w:pPr>
        <w:keepNext/>
        <w:spacing w:after="0" w:before="60"/>
        <w:jc w:val="center"/>
      </w:pPr>
      <w:r>
        <w:drawing>
          <wp:inline distT="0" distB="0" distL="0" distR="0">
            <wp:extent cx="2952750" cy="1885950"/>
            <wp:effectExtent t="0" r="0" b="0" l="0"/>
            <wp:docPr id="4" name="/tmp/rep/fig/f3_fold.png" descr="/tmp/rep/fig/f3_fold.png" title="/tmp/rep/fig/f3_f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885950"/>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4. Per-fold AUC for SmallCNN and ResNet18.</w:t>
      </w:r>
    </w:p>
    <w:p>
      <w:pPr>
        <w:spacing w:after="70" w:line="228"/>
        <w:ind w:firstLine="200"/>
        <w:jc w:val="both"/>
      </w:pPr>
      <w:r>
        <w:rPr>
          <w:rFonts w:ascii="Times New Roman" w:cs="Times New Roman" w:eastAsia="Times New Roman" w:hAnsi="Times New Roman"/>
          <w:sz w:val="20"/>
          <w:szCs w:val="20"/>
        </w:rPr>
        <w:t xml:space="preserve">The best pooled model by AUC was the HU-feature baseline. Its confusion matrix (Fig. 5) shows 43 true negatives, 4 false positives, 8 false negatives and 39 true positives, i.e. sensitivity 0.83 and specificity 0.91. The right panel of Fig. 5 repeats the HU separation from Table I.</w:t>
      </w:r>
    </w:p>
    <w:p>
      <w:pPr>
        <w:keepNext/>
        <w:spacing w:after="0" w:before="60"/>
        <w:jc w:val="center"/>
      </w:pPr>
      <w:r>
        <w:drawing>
          <wp:inline distT="0" distB="0" distL="0" distR="0">
            <wp:extent cx="3028950" cy="1666875"/>
            <wp:effectExtent t="0" r="0" b="0" l="0"/>
            <wp:docPr id="5" name="/tmp/rep/fig/f5_cm_hu.png" descr="/tmp/rep/fig/f5_cm_hu.png" title="/tmp/rep/fig/f5_cm_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1666875"/>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5. Left: OOF confusion matrix of HU + LR (NC = no contrast, C = contrast). Right: class mean HU statistics.</w:t>
      </w:r>
    </w:p>
    <w:p>
      <w:pPr>
        <w:spacing w:after="70" w:line="228"/>
        <w:ind w:firstLine="200"/>
        <w:jc w:val="both"/>
      </w:pPr>
      <w:r>
        <w:rPr>
          <w:rFonts w:ascii="Times New Roman" w:cs="Times New Roman" w:eastAsia="Times New Roman" w:hAnsi="Times New Roman"/>
          <w:i/>
          <w:iCs/>
          <w:sz w:val="20"/>
          <w:szCs w:val="20"/>
        </w:rPr>
        <w:t xml:space="preserve">Grad-CAM.</w:t>
      </w:r>
      <w:r>
        <w:rPr>
          <w:rFonts w:ascii="Times New Roman" w:cs="Times New Roman" w:eastAsia="Times New Roman" w:hAnsi="Times New Roman"/>
          <w:sz w:val="20"/>
          <w:szCs w:val="20"/>
        </w:rPr>
        <w:t xml:space="preserve"> For six fold-0 test slices, the two clearly correct contrast cases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=0.96 and 1.00) are highlighted over the central chest, in line with heart and great vessels. One non-contrast slice received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=0.97 (a false positive) with activation over abdominal soft tissue. Two low-confidence slices (a non-contrast slice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=0.01 and a contrast slice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=0.42) are highlighted near the image border or table. This is only six images from one fold, but it shows that part of the decision may rest on non-vascular cues and should be audited on more data.</w:t>
      </w:r>
    </w:p>
    <w:p>
      <w:pPr>
        <w:keepNext/>
        <w:spacing w:after="60" w:before="140"/>
        <w:jc w:val="center"/>
      </w:pPr>
      <w:r>
        <w:rPr>
          <w:rFonts w:ascii="Times New Roman" w:cs="Times New Roman" w:eastAsia="Times New Roman" w:hAnsi="Times New Roman"/>
          <w:smallCaps w:val="false"/>
          <w:sz w:val="18"/>
          <w:szCs w:val="18"/>
        </w:rPr>
        <w:t xml:space="preserve">VII. COMPARATIVE ANALYSIS</w:t>
      </w:r>
    </w:p>
    <w:p>
      <w:pPr>
        <w:spacing w:after="70" w:line="228"/>
        <w:ind w:firstLine="200"/>
        <w:jc w:val="both"/>
      </w:pPr>
      <w:r>
        <w:rPr>
          <w:rFonts w:ascii="Times New Roman" w:cs="Times New Roman" w:eastAsia="Times New Roman" w:hAnsi="Times New Roman"/>
          <w:sz w:val="20"/>
          <w:szCs w:val="20"/>
        </w:rPr>
        <w:t xml:space="preserve">Published numbers are not directly comparable with ours, since tasks, anatomy, sample sizes and validation differ. Table VI places them side by side to put our scores in context.</w:t>
      </w:r>
    </w:p>
    <w:p>
      <w:pPr>
        <w:keepNext/>
        <w:spacing w:after="40" w:before="80"/>
        <w:jc w:val="center"/>
      </w:pPr>
      <w:r>
        <w:rPr>
          <w:rFonts w:ascii="Times New Roman" w:cs="Times New Roman" w:eastAsia="Times New Roman" w:hAnsi="Times New Roman"/>
          <w:sz w:val="16"/>
          <w:szCs w:val="16"/>
        </w:rPr>
        <w:t xml:space="preserve">TABLE VI. COMPARISON WITH REPORTED CONTRAST-RELATED STUDIES</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850"/>
        <w:gridCol w:w="1250"/>
        <w:gridCol w:w="1400"/>
        <w:gridCol w:w="1300"/>
      </w:tblGrid>
      <w:tr>
        <w:trPr>
          <w:cantSplit/>
          <w:tblHeader/>
        </w:trPr>
        <w:tc>
          <w:tcPr>
            <w:tcW w:type="dxa" w:w="8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Study</w:t>
            </w:r>
          </w:p>
        </w:tc>
        <w:tc>
          <w:tcPr>
            <w:tcW w:type="dxa" w:w="12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Task / data</w:t>
            </w:r>
          </w:p>
        </w:tc>
        <w:tc>
          <w:tcPr>
            <w:tcW w:type="dxa" w:w="14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Model</w:t>
            </w:r>
          </w:p>
        </w:tc>
        <w:tc>
          <w:tcPr>
            <w:tcW w:type="dxa" w:w="1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Reported result</w:t>
            </w:r>
          </w:p>
        </w:tc>
      </w:tr>
      <w:tr>
        <w:trPr>
          <w:cantSplit/>
          <w:tblHeader w:val="off"/>
        </w:trPr>
        <w:tc>
          <w:tcPr>
            <w:tcW w:type="dxa" w:w="8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Ye et al. </w:t>
            </w:r>
            <w:r>
              <w:rPr>
                <w:rFonts w:ascii="Times New Roman" w:cs="Times New Roman" w:eastAsia="Times New Roman" w:hAnsi="Times New Roman"/>
                <w:sz w:val="15"/>
                <w:szCs w:val="15"/>
              </w:rPr>
              <w:t xml:space="preserve">[1]</w:t>
            </w:r>
          </w:p>
        </w:tc>
        <w:tc>
          <w:tcPr>
            <w:tcW w:type="dxa" w:w="12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IV contrast, HN and chest CT, 1,979 scans</w:t>
            </w:r>
          </w:p>
        </w:tc>
        <w:tc>
          <w:tcPr>
            <w:tcW w:type="dxa" w:w="14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EfficientNetB4</w:t>
            </w:r>
          </w:p>
        </w:tc>
        <w:tc>
          <w:tcPr>
            <w:tcW w:type="dxa" w:w="13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AUC 0.996 / 1.0 (HN int./ext.); 1.0 / 0.980 (chest)</w:t>
            </w:r>
          </w:p>
        </w:tc>
      </w:tr>
      <w:tr>
        <w:trPr>
          <w:cantSplit/>
          <w:tblHeader w:val="off"/>
        </w:trPr>
        <w:tc>
          <w:tcPr>
            <w:tcW w:type="dxa" w:w="8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Rocha et al. </w:t>
            </w:r>
            <w:r>
              <w:rPr>
                <w:rFonts w:ascii="Times New Roman" w:cs="Times New Roman" w:eastAsia="Times New Roman" w:hAnsi="Times New Roman"/>
                <w:sz w:val="15"/>
                <w:szCs w:val="15"/>
              </w:rPr>
              <w:t xml:space="preserve">[7]</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 liver phases, multiphase CT</w:t>
            </w:r>
          </w:p>
        </w:tc>
        <w:tc>
          <w:tcPr>
            <w:tcW w:type="dxa" w:w="14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CNN</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Slice acc. 94.6%</w:t>
            </w:r>
          </w:p>
        </w:tc>
      </w:tr>
      <w:tr>
        <w:trPr>
          <w:cantSplit/>
          <w:tblHeader w:val="off"/>
        </w:trPr>
        <w:tc>
          <w:tcPr>
            <w:tcW w:type="dxa" w:w="8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Reis et al. </w:t>
            </w:r>
            <w:r>
              <w:rPr>
                <w:rFonts w:ascii="Times New Roman" w:cs="Times New Roman" w:eastAsia="Times New Roman" w:hAnsi="Times New Roman"/>
                <w:sz w:val="15"/>
                <w:szCs w:val="15"/>
              </w:rPr>
              <w:t xml:space="preserve">[9]</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4 abdominal phases</w:t>
            </w:r>
          </w:p>
        </w:tc>
        <w:tc>
          <w:tcPr>
            <w:tcW w:type="dxa" w:w="14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TotalSeg. + XGBoost</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Acc. 92.3%</w:t>
            </w:r>
          </w:p>
        </w:tc>
      </w:tr>
      <w:tr>
        <w:trPr>
          <w:cantSplit/>
          <w:tblHeader w:val="off"/>
        </w:trPr>
        <w:tc>
          <w:tcPr>
            <w:tcW w:type="dxa" w:w="8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This work</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Contrast vs none, 94 slices, 54 IDs</w:t>
            </w:r>
          </w:p>
        </w:tc>
        <w:tc>
          <w:tcPr>
            <w:tcW w:type="dxa" w:w="14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HU features + LR</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OOF AUC 0.952</w:t>
            </w:r>
          </w:p>
        </w:tc>
      </w:tr>
      <w:tr>
        <w:trPr>
          <w:cantSplit/>
          <w:tblHeader w:val="off"/>
        </w:trPr>
        <w:tc>
          <w:tcPr>
            <w:tcW w:type="dxa" w:w="8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This work</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same</w:t>
            </w:r>
          </w:p>
        </w:tc>
        <w:tc>
          <w:tcPr>
            <w:tcW w:type="dxa" w:w="14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ResNet18 (fine-tuned)</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OOF AUC 0.948; acc. 0.851</w:t>
            </w:r>
          </w:p>
        </w:tc>
      </w:tr>
      <w:tr>
        <w:trPr>
          <w:cantSplit/>
          <w:tblHeader w:val="off"/>
        </w:trPr>
        <w:tc>
          <w:tcPr>
            <w:tcW w:type="dxa" w:w="8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This work</w:t>
            </w:r>
          </w:p>
        </w:tc>
        <w:tc>
          <w:tcPr>
            <w:tcW w:type="dxa" w:w="12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same</w:t>
            </w:r>
          </w:p>
        </w:tc>
        <w:tc>
          <w:tcPr>
            <w:tcW w:type="dxa" w:w="14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SmallCNN</w:t>
            </w:r>
          </w:p>
        </w:tc>
        <w:tc>
          <w:tcPr>
            <w:tcW w:type="dxa" w:w="1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OOF AUC 0.902; acc. 0.812</w:t>
            </w:r>
          </w:p>
        </w:tc>
      </w:tr>
    </w:tbl>
    <w:p>
      <w:pPr>
        <w:spacing w:after="40"/>
      </w:pPr>
    </w:p>
    <w:p>
      <w:pPr>
        <w:spacing w:after="70" w:line="228"/>
        <w:ind w:firstLine="200"/>
        <w:jc w:val="both"/>
      </w:pPr>
      <w:r>
        <w:rPr>
          <w:rFonts w:ascii="Times New Roman" w:cs="Times New Roman" w:eastAsia="Times New Roman" w:hAnsi="Times New Roman"/>
          <w:sz w:val="20"/>
          <w:szCs w:val="20"/>
        </w:rPr>
        <w:t xml:space="preserve">Three observations follow. First, our binary result is in the same range as the four-phase abdominal studies and below the near-perfect AUCs of Ye et al., who used about 1,979 scans and external test sets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our interval widths (≈0.08) reflect the small sample. Second, a simple HU histogram model matches a fine-tuned ResNet18, echoing the view that explicit radiodensity features are strong for this task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and that complex models need not beat simple ones once evaluation is leak-free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Third, modern backbones such as Swin (86.4% ImageNet top-1)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and ConvNeXt (87.8%)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were not run here; given that transformers gain mostly through large-scale or self-supervised pre-training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we expect little advantage at this data size, but this remains untested. ResNet18 also keeps the Grad-CAM pipeline simple.</w:t>
      </w:r>
    </w:p>
    <w:p>
      <w:pPr>
        <w:spacing w:after="70" w:line="228"/>
        <w:ind w:firstLine="200"/>
        <w:jc w:val="both"/>
      </w:pPr>
      <w:r>
        <w:rPr>
          <w:rFonts w:ascii="Times New Roman" w:cs="Times New Roman" w:eastAsia="Times New Roman" w:hAnsi="Times New Roman"/>
          <w:i/>
          <w:iCs/>
          <w:sz w:val="20"/>
          <w:szCs w:val="20"/>
        </w:rPr>
        <w:t xml:space="preserve">Cost and deployment.</w:t>
      </w:r>
      <w:r>
        <w:rPr>
          <w:rFonts w:ascii="Times New Roman" w:cs="Times New Roman" w:eastAsia="Times New Roman" w:hAnsi="Times New Roman"/>
          <w:sz w:val="20"/>
          <w:szCs w:val="20"/>
        </w:rPr>
        <w:t xml:space="preserve"> The HU model uses 49 numbers per slice; SmallCNN has about 98 k parameters and ResNet18 about 11.2 M, and both were trained on CPU in this run. At scan level one would average slice probabilities per series, the way slice-level predictions are aggregated to patient level in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which should reduce the effect of single ambiguous slices such as apical or lower-abdominal levels.</w:t>
      </w:r>
    </w:p>
    <w:p>
      <w:pPr>
        <w:keepNext/>
        <w:spacing w:after="40" w:before="80"/>
        <w:jc w:val="center"/>
      </w:pPr>
      <w:r>
        <w:rPr>
          <w:rFonts w:ascii="Times New Roman" w:cs="Times New Roman" w:eastAsia="Times New Roman" w:hAnsi="Times New Roman"/>
          <w:sz w:val="16"/>
          <w:szCs w:val="16"/>
        </w:rPr>
        <w:t xml:space="preserve">TABLE VII. BACKBONE FAMILIES FROM THE LITERATURE AND THEIR FIT TO THIS TASK</w:t>
      </w:r>
    </w:p>
    <w:tbl>
      <w:tblPr>
        <w:tblW w:type="dxa" w:w="48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150"/>
        <w:gridCol w:w="1950"/>
        <w:gridCol w:w="1700"/>
      </w:tblGrid>
      <w:tr>
        <w:trPr>
          <w:cantSplit/>
          <w:tblHeader/>
        </w:trPr>
        <w:tc>
          <w:tcPr>
            <w:tcW w:type="dxa" w:w="11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bCs/>
                <w:sz w:val="15"/>
                <w:szCs w:val="15"/>
              </w:rPr>
              <w:t xml:space="preserve">Family</w:t>
            </w:r>
          </w:p>
        </w:tc>
        <w:tc>
          <w:tcPr>
            <w:tcW w:type="dxa" w:w="19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Core idea</w:t>
            </w:r>
          </w:p>
        </w:tc>
        <w:tc>
          <w:tcPr>
            <w:tcW w:type="dxa" w:w="1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bCs/>
                <w:sz w:val="15"/>
                <w:szCs w:val="15"/>
              </w:rPr>
              <w:t xml:space="preserve">Fit for ~100 slices</w:t>
            </w:r>
          </w:p>
        </w:tc>
      </w:tr>
      <w:tr>
        <w:trPr>
          <w:cantSplit/>
          <w:tblHeader w:val="off"/>
        </w:trPr>
        <w:tc>
          <w:tcPr>
            <w:tcW w:type="dxa" w:w="11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ResNet </w:t>
            </w:r>
            <w:r>
              <w:rPr>
                <w:rFonts w:ascii="Times New Roman" w:cs="Times New Roman" w:eastAsia="Times New Roman" w:hAnsi="Times New Roman"/>
                <w:sz w:val="15"/>
                <w:szCs w:val="15"/>
              </w:rPr>
              <w:t xml:space="preserve">[5]</w:t>
            </w:r>
          </w:p>
        </w:tc>
        <w:tc>
          <w:tcPr>
            <w:tcW w:type="dxa" w:w="195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Residual conv. blocks, strong inductive bias</w:t>
            </w:r>
          </w:p>
        </w:tc>
        <w:tc>
          <w:tcPr>
            <w:tcW w:type="dxa" w:w="1700"/>
            <w:tcBorders>
              <w:top w:val="single" w:color="000000" w:sz="4"/>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Used; stable with ImageNet init.</w:t>
            </w:r>
          </w:p>
        </w:tc>
      </w:tr>
      <w:tr>
        <w:trPr>
          <w:cantSplit/>
          <w:tblHeader w:val="off"/>
        </w:trPr>
        <w:tc>
          <w:tcPr>
            <w:tcW w:type="dxa" w:w="11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EfficientNetV2 </w:t>
            </w:r>
            <w:r>
              <w:rPr>
                <w:rFonts w:ascii="Times New Roman" w:cs="Times New Roman" w:eastAsia="Times New Roman" w:hAnsi="Times New Roman"/>
                <w:sz w:val="15"/>
                <w:szCs w:val="15"/>
              </w:rPr>
              <w:t xml:space="preserve">[13]</w:t>
            </w:r>
          </w:p>
        </w:tc>
        <w:tc>
          <w:tcPr>
            <w:tcW w:type="dxa" w:w="19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Compound-scaled, fused-MBConv CNN</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Candidate; the EfficientNet family won in </w:t>
            </w:r>
            <w:r>
              <w:rPr>
                <w:rFonts w:ascii="Times New Roman" w:cs="Times New Roman" w:eastAsia="Times New Roman" w:hAnsi="Times New Roman"/>
                <w:sz w:val="15"/>
                <w:szCs w:val="15"/>
              </w:rPr>
              <w:t xml:space="preserve">[1]</w:t>
            </w:r>
          </w:p>
        </w:tc>
      </w:tr>
      <w:tr>
        <w:trPr>
          <w:cantSplit/>
          <w:tblHeader w:val="off"/>
        </w:trPr>
        <w:tc>
          <w:tcPr>
            <w:tcW w:type="dxa" w:w="11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ConvNeXt </w:t>
            </w:r>
            <w:r>
              <w:rPr>
                <w:rFonts w:ascii="Times New Roman" w:cs="Times New Roman" w:eastAsia="Times New Roman" w:hAnsi="Times New Roman"/>
                <w:sz w:val="15"/>
                <w:szCs w:val="15"/>
              </w:rPr>
              <w:t xml:space="preserve">[12]</w:t>
            </w:r>
          </w:p>
        </w:tc>
        <w:tc>
          <w:tcPr>
            <w:tcW w:type="dxa" w:w="19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ResNet modernised towards ViT design</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Candidate; untested here</w:t>
            </w:r>
          </w:p>
        </w:tc>
      </w:tr>
      <w:tr>
        <w:trPr>
          <w:cantSplit/>
          <w:tblHeader w:val="off"/>
        </w:trPr>
        <w:tc>
          <w:tcPr>
            <w:tcW w:type="dxa" w:w="11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ViT </w:t>
            </w:r>
            <w:r>
              <w:rPr>
                <w:rFonts w:ascii="Times New Roman" w:cs="Times New Roman" w:eastAsia="Times New Roman" w:hAnsi="Times New Roman"/>
                <w:sz w:val="15"/>
                <w:szCs w:val="15"/>
              </w:rPr>
              <w:t xml:space="preserve">[10]</w:t>
            </w:r>
          </w:p>
        </w:tc>
        <w:tc>
          <w:tcPr>
            <w:tcW w:type="dxa" w:w="19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Patch tokens + global self-attention</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Needs large or self-supervised pre-training </w:t>
            </w:r>
            <w:r>
              <w:rPr>
                <w:rFonts w:ascii="Times New Roman" w:cs="Times New Roman" w:eastAsia="Times New Roman" w:hAnsi="Times New Roman"/>
                <w:sz w:val="15"/>
                <w:szCs w:val="15"/>
              </w:rPr>
              <w:t xml:space="preserve">[15]</w:t>
            </w:r>
          </w:p>
        </w:tc>
      </w:tr>
      <w:tr>
        <w:trPr>
          <w:cantSplit/>
          <w:tblHeader w:val="off"/>
        </w:trPr>
        <w:tc>
          <w:tcPr>
            <w:tcW w:type="dxa" w:w="11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left"/>
            </w:pPr>
            <w:r>
              <w:rPr>
                <w:rFonts w:ascii="Times New Roman" w:cs="Times New Roman" w:eastAsia="Times New Roman" w:hAnsi="Times New Roman"/>
                <w:b w:val="false"/>
                <w:bCs w:val="false"/>
                <w:sz w:val="15"/>
                <w:szCs w:val="15"/>
              </w:rPr>
              <w:t xml:space="preserve">Swin </w:t>
            </w:r>
            <w:r>
              <w:rPr>
                <w:rFonts w:ascii="Times New Roman" w:cs="Times New Roman" w:eastAsia="Times New Roman" w:hAnsi="Times New Roman"/>
                <w:sz w:val="15"/>
                <w:szCs w:val="15"/>
              </w:rPr>
              <w:t xml:space="preserve">[11]</w:t>
            </w:r>
          </w:p>
        </w:tc>
        <w:tc>
          <w:tcPr>
            <w:tcW w:type="dxa" w:w="19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Shifted-window hierarchical attention</w:t>
            </w:r>
          </w:p>
        </w:tc>
        <w:tc>
          <w:tcPr>
            <w:tcW w:type="dxa" w:w="1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jc w:val="center"/>
            </w:pPr>
            <w:r>
              <w:rPr>
                <w:rFonts w:ascii="Times New Roman" w:cs="Times New Roman" w:eastAsia="Times New Roman" w:hAnsi="Times New Roman"/>
                <w:b w:val="false"/>
                <w:bCs w:val="false"/>
                <w:sz w:val="15"/>
                <w:szCs w:val="15"/>
              </w:rPr>
              <w:t xml:space="preserve">Same caveat; suited to dense tasks</w:t>
            </w:r>
          </w:p>
        </w:tc>
      </w:tr>
    </w:tbl>
    <w:p>
      <w:pPr>
        <w:spacing w:after="40"/>
      </w:pPr>
    </w:p>
    <w:p>
      <w:pPr>
        <w:spacing w:after="70" w:line="228"/>
        <w:ind w:firstLine="200"/>
        <w:jc w:val="both"/>
      </w:pPr>
      <w:r>
        <w:rPr>
          <w:rFonts w:ascii="Times New Roman" w:cs="Times New Roman" w:eastAsia="Times New Roman" w:hAnsi="Times New Roman"/>
          <w:sz w:val="20"/>
          <w:szCs w:val="20"/>
        </w:rPr>
        <w:t xml:space="preserve">The table summarises why only convolutional backbones were trained. The review in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points out that Transformers are attractive for long-range context and multi-task pre-training, but a contrast shift is a global intensity effect that a shallow CNN or a histogram can already capture, so extra capacity brings little at this sample size.</w:t>
      </w:r>
    </w:p>
    <w:p>
      <w:pPr>
        <w:keepNext/>
        <w:spacing w:after="60" w:before="140"/>
        <w:jc w:val="center"/>
      </w:pPr>
      <w:r>
        <w:rPr>
          <w:rFonts w:ascii="Times New Roman" w:cs="Times New Roman" w:eastAsia="Times New Roman" w:hAnsi="Times New Roman"/>
          <w:smallCaps w:val="false"/>
          <w:sz w:val="18"/>
          <w:szCs w:val="18"/>
        </w:rPr>
        <w:t xml:space="preserve">VIII. DISCUSSION</w:t>
      </w:r>
    </w:p>
    <w:p>
      <w:pPr>
        <w:spacing w:after="70" w:line="228"/>
        <w:ind w:firstLine="200"/>
        <w:jc w:val="both"/>
      </w:pPr>
      <w:r>
        <w:rPr>
          <w:rFonts w:ascii="Times New Roman" w:cs="Times New Roman" w:eastAsia="Times New Roman" w:hAnsi="Times New Roman"/>
          <w:sz w:val="20"/>
          <w:szCs w:val="20"/>
        </w:rPr>
        <w:t xml:space="preserve">The central finding is not which model wins but how much each score can be trusted. The pooled ordering HU+LR ≈ ResNet18 &gt; SmallCNN &gt; age-only agrees with the fold means, while the gaps among the first three are smaller than their bootstrap intervals. This is the pattern one expects when the signal is a global intensity shift: the contrast slices show a heavier right tail between 100 and 300 HU in the mean histogram, which a histogram feature set captures directly, whereas a CNN has to rediscover it from pixels with few examples. The fine-tuned ResNet18 recovers most of that signal through ImageNet features, and its higher recall (0.868 vs 0.833) may matter if missing a contrast study is costlier than a false alarm.</w:t>
      </w:r>
    </w:p>
    <w:p>
      <w:pPr>
        <w:spacing w:after="70" w:line="228"/>
        <w:ind w:firstLine="200"/>
        <w:jc w:val="both"/>
      </w:pPr>
      <w:r>
        <w:rPr>
          <w:rFonts w:ascii="Times New Roman" w:cs="Times New Roman" w:eastAsia="Times New Roman" w:hAnsi="Times New Roman"/>
          <w:sz w:val="20"/>
          <w:szCs w:val="20"/>
        </w:rPr>
        <w:t xml:space="preserve">Two caveats apply. Slices from one patient share anatomy, so even grouped folds can be optimistic if the same patient appears under another ID, which the dataset cannot rule out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Second, accuracy at a fixed threshold swings by 0.2 or more between folds, so any deployment should calibrate the threshold on a separate validation split and report confidence intervals together with point estimates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We also note that explainability evidence from six images is anecdotal; a quantitative check, such as masking the body region or table and measuring the AUC drop, is a natural next step.</w:t>
      </w:r>
    </w:p>
    <w:p>
      <w:pPr>
        <w:keepNext/>
        <w:spacing w:after="60" w:before="140"/>
        <w:jc w:val="center"/>
      </w:pPr>
      <w:r>
        <w:rPr>
          <w:rFonts w:ascii="Times New Roman" w:cs="Times New Roman" w:eastAsia="Times New Roman" w:hAnsi="Times New Roman"/>
          <w:smallCaps w:val="false"/>
          <w:sz w:val="18"/>
          <w:szCs w:val="18"/>
        </w:rPr>
        <w:t xml:space="preserve">IX. LIMITATIONS</w:t>
      </w:r>
    </w:p>
    <w:p>
      <w:pPr>
        <w:spacing w:after="70" w:line="228"/>
        <w:ind w:firstLine="2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Sample size</w:t>
      </w:r>
      <w:r>
        <w:rPr>
          <w:rFonts w:ascii="Times New Roman" w:cs="Times New Roman" w:eastAsia="Times New Roman" w:hAnsi="Times New Roman"/>
          <w:sz w:val="20"/>
          <w:szCs w:val="20"/>
        </w:rPr>
        <w:t xml:space="preserve">: 94 slices make fold estimates unstable (fold SDs up to about 0.2). (2) </w:t>
      </w:r>
      <w:r>
        <w:rPr>
          <w:rFonts w:ascii="Times New Roman" w:cs="Times New Roman" w:eastAsia="Times New Roman" w:hAnsi="Times New Roman"/>
          <w:i/>
          <w:iCs/>
          <w:sz w:val="20"/>
          <w:szCs w:val="20"/>
        </w:rPr>
        <w:t xml:space="preserve">Independence</w:t>
      </w:r>
      <w:r>
        <w:rPr>
          <w:rFonts w:ascii="Times New Roman" w:cs="Times New Roman" w:eastAsia="Times New Roman" w:hAnsi="Times New Roman"/>
          <w:sz w:val="20"/>
          <w:szCs w:val="20"/>
        </w:rPr>
        <w:t xml:space="preserve">: 54 patient IDs for 94 slices means grouping helps, but similar anatomy across patients cannot be ruled out. (3) </w:t>
      </w:r>
      <w:r>
        <w:rPr>
          <w:rFonts w:ascii="Times New Roman" w:cs="Times New Roman" w:eastAsia="Times New Roman" w:hAnsi="Times New Roman"/>
          <w:i/>
          <w:iCs/>
          <w:sz w:val="20"/>
          <w:szCs w:val="20"/>
        </w:rPr>
        <w:t xml:space="preserve">Shortcuts</w:t>
      </w:r>
      <w:r>
        <w:rPr>
          <w:rFonts w:ascii="Times New Roman" w:cs="Times New Roman" w:eastAsia="Times New Roman" w:hAnsi="Times New Roman"/>
          <w:sz w:val="20"/>
          <w:szCs w:val="20"/>
        </w:rPr>
        <w:t xml:space="preserve">: body-area fraction differs by class and Grad-CAM shows some peripheral attention; the age control is clean but anatomy is not controlled. (4) </w:t>
      </w:r>
      <w:r>
        <w:rPr>
          <w:rFonts w:ascii="Times New Roman" w:cs="Times New Roman" w:eastAsia="Times New Roman" w:hAnsi="Times New Roman"/>
          <w:i/>
          <w:iCs/>
          <w:sz w:val="20"/>
          <w:szCs w:val="20"/>
        </w:rPr>
        <w:t xml:space="preserve">Threshold and calibration</w:t>
      </w:r>
      <w:r>
        <w:rPr>
          <w:rFonts w:ascii="Times New Roman" w:cs="Times New Roman" w:eastAsia="Times New Roman" w:hAnsi="Times New Roman"/>
          <w:sz w:val="20"/>
          <w:szCs w:val="20"/>
        </w:rPr>
        <w:t xml:space="preserve">: the fixed 0.5 threshold and pooling of fold-specific scores affect accuracy and pooled AUC. (5) </w:t>
      </w:r>
      <w:r>
        <w:rPr>
          <w:rFonts w:ascii="Times New Roman" w:cs="Times New Roman" w:eastAsia="Times New Roman" w:hAnsi="Times New Roman"/>
          <w:i/>
          <w:iCs/>
          <w:sz w:val="20"/>
          <w:szCs w:val="20"/>
        </w:rPr>
        <w:t xml:space="preserve">No external validation or hyperparameter search</w:t>
      </w:r>
      <w:r>
        <w:rPr>
          <w:rFonts w:ascii="Times New Roman" w:cs="Times New Roman" w:eastAsia="Times New Roman" w:hAnsi="Times New Roman"/>
          <w:sz w:val="20"/>
          <w:szCs w:val="20"/>
        </w:rPr>
        <w:t xml:space="preserve">; epochs and rates were fixed, which avoids test-fold tuning but may leave performance on the table. (6) </w:t>
      </w:r>
      <w:r>
        <w:rPr>
          <w:rFonts w:ascii="Times New Roman" w:cs="Times New Roman" w:eastAsia="Times New Roman" w:hAnsi="Times New Roman"/>
          <w:i/>
          <w:iCs/>
          <w:sz w:val="20"/>
          <w:szCs w:val="20"/>
        </w:rPr>
        <w:t xml:space="preserve">Labels</w:t>
      </w:r>
      <w:r>
        <w:rPr>
          <w:rFonts w:ascii="Times New Roman" w:cs="Times New Roman" w:eastAsia="Times New Roman" w:hAnsi="Times New Roman"/>
          <w:sz w:val="20"/>
          <w:szCs w:val="20"/>
        </w:rPr>
        <w:t xml:space="preserve"> come from the dataset table; we did not re-read images with a radiologist. Results should be seen as a proof of concept, not clinical evidence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w:t>
      </w:r>
    </w:p>
    <w:p>
      <w:pPr>
        <w:spacing w:after="70" w:line="228"/>
        <w:ind w:firstLine="200"/>
        <w:jc w:val="both"/>
      </w:pPr>
      <w:r>
        <w:rPr>
          <w:rFonts w:ascii="Times New Roman" w:cs="Times New Roman" w:eastAsia="Times New Roman" w:hAnsi="Times New Roman"/>
          <w:i/>
          <w:iCs/>
          <w:sz w:val="20"/>
          <w:szCs w:val="20"/>
        </w:rPr>
        <w:t xml:space="preserve">Ethics and data use.</w:t>
      </w:r>
      <w:r>
        <w:rPr>
          <w:rFonts w:ascii="Times New Roman" w:cs="Times New Roman" w:eastAsia="Times New Roman" w:hAnsi="Times New Roman"/>
          <w:sz w:val="20"/>
          <w:szCs w:val="20"/>
        </w:rPr>
        <w:t xml:space="preserve"> The data are a public research dataset, so no new patient contact or consent was involved. Because models can pick up demographic information from images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any future version trained on hospital data should include subgroup reporting (sex, age band, scanner) in addition to overall AUC, and should be introduced as a curation aid with a human check rather than as an autonomous gatekeeper.</w:t>
      </w:r>
    </w:p>
    <w:p>
      <w:pPr>
        <w:keepNext/>
        <w:spacing w:after="60" w:before="140"/>
        <w:jc w:val="center"/>
      </w:pPr>
      <w:r>
        <w:rPr>
          <w:rFonts w:ascii="Times New Roman" w:cs="Times New Roman" w:eastAsia="Times New Roman" w:hAnsi="Times New Roman"/>
          <w:smallCaps w:val="false"/>
          <w:sz w:val="18"/>
          <w:szCs w:val="18"/>
        </w:rPr>
        <w:t xml:space="preserve">X. CONCLUSION</w:t>
      </w:r>
    </w:p>
    <w:p>
      <w:pPr>
        <w:spacing w:after="70" w:line="228"/>
        <w:ind w:firstLine="200"/>
        <w:jc w:val="both"/>
      </w:pPr>
      <w:r>
        <w:rPr>
          <w:rFonts w:ascii="Times New Roman" w:cs="Times New Roman" w:eastAsia="Times New Roman" w:hAnsi="Times New Roman"/>
          <w:sz w:val="20"/>
          <w:szCs w:val="20"/>
        </w:rPr>
        <w:t xml:space="preserve">Contrast can be detected from single CT slices with OOF AUC around 0.95 using either handcrafted HU histograms or a fine-tuned ResNet18, while an age-only model stays at chance. The patient-grouped protocol, bootstrap intervals and Grad-CAM show both the promise and the fragility of such results on 94 slices. Future work should add multi-centre data, series-level aggregation, calibrated thresholds, mask-based or organ-level features, self-supervised backbones, and a radiologist review of the saliency maps.</w:t>
      </w:r>
    </w:p>
    <w:p>
      <w:pPr>
        <w:keepNext/>
        <w:spacing w:after="60" w:before="140"/>
        <w:jc w:val="center"/>
      </w:pPr>
      <w:r>
        <w:rPr>
          <w:rFonts w:ascii="Times New Roman" w:cs="Times New Roman" w:eastAsia="Times New Roman" w:hAnsi="Times New Roman"/>
          <w:smallCaps w:val="false"/>
          <w:sz w:val="18"/>
          <w:szCs w:val="18"/>
        </w:rPr>
        <w:t xml:space="preserve">APPENDIX: ORIGINALITY CHECK</w:t>
      </w:r>
    </w:p>
    <w:p>
      <w:pPr>
        <w:spacing w:after="70" w:line="228"/>
        <w:ind w:firstLine="200"/>
        <w:jc w:val="both"/>
      </w:pPr>
      <w:r>
        <w:rPr>
          <w:rFonts w:ascii="Times New Roman" w:cs="Times New Roman" w:eastAsia="Times New Roman" w:hAnsi="Times New Roman"/>
          <w:sz w:val="20"/>
          <w:szCs w:val="20"/>
        </w:rPr>
        <w:t xml:space="preserve">The Turnitin report supplied with this project (file HA_Report.pdf, submission ID trn:oid:::1:3074638943, 23 Oct 2026; 9 pages, 2,888 words) is reproduced in Figs. 6 and 7.</w:t>
      </w:r>
    </w:p>
    <w:p>
      <w:pPr>
        <w:keepNext/>
        <w:spacing w:after="0" w:before="60"/>
        <w:jc w:val="center"/>
      </w:pPr>
      <w:r>
        <w:drawing>
          <wp:inline distT="0" distB="0" distL="0" distR="0">
            <wp:extent cx="3028950" cy="2257425"/>
            <wp:effectExtent t="0" r="0" b="0" l="0"/>
            <wp:docPr id="6" name="/tmp/rep/fig/plag1.png" descr="/tmp/rep/fig/plag1.png" title="/tmp/rep/fig/pla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28950" cy="2257425"/>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6. Turnitin integrity overview: 3% overall similarity and 0 integrity flags.</w:t>
      </w:r>
    </w:p>
    <w:p>
      <w:pPr>
        <w:keepNext/>
        <w:spacing w:after="0" w:before="60"/>
        <w:jc w:val="center"/>
      </w:pPr>
      <w:r>
        <w:drawing>
          <wp:inline distT="0" distB="0" distL="0" distR="0">
            <wp:extent cx="3028950" cy="1619250"/>
            <wp:effectExtent t="0" r="0" b="0" l="0"/>
            <wp:docPr id="7" name="/tmp/rep/fig/plag2.png" descr="/tmp/rep/fig/plag2.png" title="/tmp/rep/fig/pla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28950" cy="1619250"/>
                    </a:xfrm>
                    <a:prstGeom prst="rect">
                      <a:avLst/>
                    </a:prstGeom>
                  </pic:spPr>
                </pic:pic>
              </a:graphicData>
            </a:graphic>
          </wp:inline>
        </w:drawing>
      </w:r>
    </w:p>
    <w:p>
      <w:pPr>
        <w:spacing w:after="100" w:before="30"/>
        <w:jc w:val="both"/>
      </w:pPr>
      <w:r>
        <w:rPr>
          <w:rFonts w:ascii="Times New Roman" w:cs="Times New Roman" w:eastAsia="Times New Roman" w:hAnsi="Times New Roman"/>
          <w:sz w:val="16"/>
          <w:szCs w:val="16"/>
        </w:rPr>
        <w:t xml:space="preserve">Fig. 7. Turnitin AI-writing overview: a score below 20% is shown by Turnitin as *%.</w:t>
      </w:r>
    </w:p>
    <w:p>
      <w:pPr>
        <w:keepNext/>
        <w:spacing w:after="60" w:before="140"/>
        <w:jc w:val="center"/>
      </w:pPr>
      <w:r>
        <w:rPr>
          <w:rFonts w:ascii="Times New Roman" w:cs="Times New Roman" w:eastAsia="Times New Roman" w:hAnsi="Times New Roman"/>
          <w:smallCaps w:val="false"/>
          <w:sz w:val="18"/>
          <w:szCs w:val="18"/>
        </w:rPr>
        <w:t xml:space="preserve">REFERENCES</w:t>
      </w:r>
    </w:p>
    <w:p>
      <w:pPr>
        <w:spacing w:after="50" w:line="228"/>
        <w:ind w:left="300" w:hanging="3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Z. Ye et al., "Deep learning–based detection of intravenous contrast enhancement on CT scans," </w:t>
      </w:r>
      <w:r>
        <w:rPr>
          <w:rFonts w:ascii="Times New Roman" w:cs="Times New Roman" w:eastAsia="Times New Roman" w:hAnsi="Times New Roman"/>
          <w:i/>
          <w:iCs/>
          <w:sz w:val="16"/>
          <w:szCs w:val="16"/>
        </w:rPr>
        <w:t xml:space="preserve">Radiol. Artif. Intell.</w:t>
      </w:r>
      <w:r>
        <w:rPr>
          <w:rFonts w:ascii="Times New Roman" w:cs="Times New Roman" w:eastAsia="Times New Roman" w:hAnsi="Times New Roman"/>
          <w:sz w:val="16"/>
          <w:szCs w:val="16"/>
        </w:rPr>
        <w:t xml:space="preserve">, vol. 4, no. 3, Art. no. e210285, May 2022.</w:t>
      </w:r>
    </w:p>
    <w:p>
      <w:pPr>
        <w:spacing w:after="50" w:line="228"/>
        <w:ind w:left="300" w:hanging="3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G. Varoquaux and V. Cheplygina, "Machine learning for medical imaging: Methodological failures and recommendations for the future," </w:t>
      </w:r>
      <w:r>
        <w:rPr>
          <w:rFonts w:ascii="Times New Roman" w:cs="Times New Roman" w:eastAsia="Times New Roman" w:hAnsi="Times New Roman"/>
          <w:i/>
          <w:iCs/>
          <w:sz w:val="16"/>
          <w:szCs w:val="16"/>
        </w:rPr>
        <w:t xml:space="preserve">npj Digit. Med.</w:t>
      </w:r>
      <w:r>
        <w:rPr>
          <w:rFonts w:ascii="Times New Roman" w:cs="Times New Roman" w:eastAsia="Times New Roman" w:hAnsi="Times New Roman"/>
          <w:sz w:val="16"/>
          <w:szCs w:val="16"/>
        </w:rPr>
        <w:t xml:space="preserve">, vol. 5, Art. no. 48, 2022.</w:t>
      </w:r>
    </w:p>
    <w:p>
      <w:pPr>
        <w:spacing w:after="50" w:line="228"/>
        <w:ind w:left="300" w:hanging="3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Kapoor and A. Narayanan, "Leakage and the reproducibility crisis in machine-learning-based science," </w:t>
      </w:r>
      <w:r>
        <w:rPr>
          <w:rFonts w:ascii="Times New Roman" w:cs="Times New Roman" w:eastAsia="Times New Roman" w:hAnsi="Times New Roman"/>
          <w:i/>
          <w:iCs/>
          <w:sz w:val="16"/>
          <w:szCs w:val="16"/>
        </w:rPr>
        <w:t xml:space="preserve">Patterns</w:t>
      </w:r>
      <w:r>
        <w:rPr>
          <w:rFonts w:ascii="Times New Roman" w:cs="Times New Roman" w:eastAsia="Times New Roman" w:hAnsi="Times New Roman"/>
          <w:sz w:val="16"/>
          <w:szCs w:val="16"/>
        </w:rPr>
        <w:t xml:space="preserve">, vol. 4, no. 9, Art. no. 100804, Sep. 2023.</w:t>
      </w:r>
    </w:p>
    <w:p>
      <w:pPr>
        <w:spacing w:after="50" w:line="228"/>
        <w:ind w:left="300" w:hanging="3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 Roberts et al., "Common pitfalls and recommendations for using machine learning to detect and prognosticate for COVID-19 using chest radiographs and CT scans,"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sz w:val="16"/>
          <w:szCs w:val="16"/>
        </w:rPr>
        <w:t xml:space="preserve">, vol. 3, pp. 199–217, 2021.</w:t>
      </w:r>
    </w:p>
    <w:p>
      <w:pPr>
        <w:spacing w:after="50" w:line="228"/>
        <w:ind w:left="300" w:hanging="3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K. He, X. Zhang, S. Ren, and J. Sun, "Deep residual learning for image recognition," in </w:t>
      </w:r>
      <w:r>
        <w:rPr>
          <w:rFonts w:ascii="Times New Roman" w:cs="Times New Roman" w:eastAsia="Times New Roman" w:hAnsi="Times New Roman"/>
          <w:i/>
          <w:iCs/>
          <w:sz w:val="16"/>
          <w:szCs w:val="16"/>
        </w:rPr>
        <w:t xml:space="preserve">Proc. IEEE Conf. Comput. Vis. Pattern Recognit. (CVPR)</w:t>
      </w:r>
      <w:r>
        <w:rPr>
          <w:rFonts w:ascii="Times New Roman" w:cs="Times New Roman" w:eastAsia="Times New Roman" w:hAnsi="Times New Roman"/>
          <w:sz w:val="16"/>
          <w:szCs w:val="16"/>
        </w:rPr>
        <w:t xml:space="preserve">, 2016, pp. 770–778.</w:t>
      </w:r>
    </w:p>
    <w:p>
      <w:pPr>
        <w:spacing w:after="50" w:line="228"/>
        <w:ind w:left="300" w:hanging="3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R. Selvaraju et al., "Grad-CAM: Visual explanations from deep networks via gradient-based localization," in </w:t>
      </w:r>
      <w:r>
        <w:rPr>
          <w:rFonts w:ascii="Times New Roman" w:cs="Times New Roman" w:eastAsia="Times New Roman" w:hAnsi="Times New Roman"/>
          <w:i/>
          <w:iCs/>
          <w:sz w:val="16"/>
          <w:szCs w:val="16"/>
        </w:rPr>
        <w:t xml:space="preserve">Proc. IEEE Int. Conf. Comput. Vis. (ICCV)</w:t>
      </w:r>
      <w:r>
        <w:rPr>
          <w:rFonts w:ascii="Times New Roman" w:cs="Times New Roman" w:eastAsia="Times New Roman" w:hAnsi="Times New Roman"/>
          <w:sz w:val="16"/>
          <w:szCs w:val="16"/>
        </w:rPr>
        <w:t xml:space="preserve">, 2017, pp. 618–626.</w:t>
      </w:r>
    </w:p>
    <w:p>
      <w:pPr>
        <w:spacing w:after="50" w:line="228"/>
        <w:ind w:left="300" w:hanging="3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B. A. Rocha et al., "Contrast phase recognition in liver computer tomography using deep learning,"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12, Art. no. 20315, Nov. 2022.</w:t>
      </w:r>
    </w:p>
    <w:p>
      <w:pPr>
        <w:spacing w:after="50" w:line="228"/>
        <w:ind w:left="300" w:hanging="3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Wasserthal et al., "TotalSegmentator: Robust segmentation of 104 anatomic structures in CT images," </w:t>
      </w:r>
      <w:r>
        <w:rPr>
          <w:rFonts w:ascii="Times New Roman" w:cs="Times New Roman" w:eastAsia="Times New Roman" w:hAnsi="Times New Roman"/>
          <w:i/>
          <w:iCs/>
          <w:sz w:val="16"/>
          <w:szCs w:val="16"/>
        </w:rPr>
        <w:t xml:space="preserve">Radiol. Artif. Intell.</w:t>
      </w:r>
      <w:r>
        <w:rPr>
          <w:rFonts w:ascii="Times New Roman" w:cs="Times New Roman" w:eastAsia="Times New Roman" w:hAnsi="Times New Roman"/>
          <w:sz w:val="16"/>
          <w:szCs w:val="16"/>
        </w:rPr>
        <w:t xml:space="preserve">, vol. 5, no. 5, Art. no. e230024, 2023.</w:t>
      </w:r>
    </w:p>
    <w:p>
      <w:pPr>
        <w:spacing w:after="50" w:line="228"/>
        <w:ind w:left="300" w:hanging="3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E. P. Reis et al., "Automatic contrast phase detection on abdominal computed tomography using clinically-inspired techniques," in </w:t>
      </w:r>
      <w:r>
        <w:rPr>
          <w:rFonts w:ascii="Times New Roman" w:cs="Times New Roman" w:eastAsia="Times New Roman" w:hAnsi="Times New Roman"/>
          <w:i/>
          <w:iCs/>
          <w:sz w:val="16"/>
          <w:szCs w:val="16"/>
        </w:rPr>
        <w:t xml:space="preserve">Proc. Med. Imaging Deep Learn. (MIDL)</w:t>
      </w:r>
      <w:r>
        <w:rPr>
          <w:rFonts w:ascii="Times New Roman" w:cs="Times New Roman" w:eastAsia="Times New Roman" w:hAnsi="Times New Roman"/>
          <w:sz w:val="16"/>
          <w:szCs w:val="16"/>
        </w:rPr>
        <w:t xml:space="preserve">, 2023.</w:t>
      </w:r>
    </w:p>
    <w:p>
      <w:pPr>
        <w:spacing w:after="50" w:line="228"/>
        <w:ind w:left="300" w:hanging="3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Dosovitskiy et al., "An image is worth 16x16 words: Transformers for image recognition at scale,"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2021.</w:t>
      </w:r>
    </w:p>
    <w:p>
      <w:pPr>
        <w:spacing w:after="50" w:line="228"/>
        <w:ind w:left="300" w:hanging="3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Z. Liu et al., "Swin Transformer: Hierarchical vision transformer using shifted windows,"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2021, pp. 10012–10022.</w:t>
      </w:r>
    </w:p>
    <w:p>
      <w:pPr>
        <w:spacing w:after="50" w:line="228"/>
        <w:ind w:left="300" w:hanging="3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Z. Liu, H. Mao, C.-Y. Wu, C. Feichtenhofer, T. Darrell, and S. Xie, "A ConvNet for the 2020s,"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2022, pp. 11976–11986.</w:t>
      </w:r>
    </w:p>
    <w:p>
      <w:pPr>
        <w:spacing w:after="50" w:line="228"/>
        <w:ind w:left="300" w:hanging="3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Tan and Q. V. Le, "EfficientNetV2: Smaller models and faster training," in </w:t>
      </w:r>
      <w:r>
        <w:rPr>
          <w:rFonts w:ascii="Times New Roman" w:cs="Times New Roman" w:eastAsia="Times New Roman" w:hAnsi="Times New Roman"/>
          <w:i/>
          <w:iCs/>
          <w:sz w:val="16"/>
          <w:szCs w:val="16"/>
        </w:rPr>
        <w:t xml:space="preserve">Proc. 38th Int. Conf. Mach. Learn. (ICML)</w:t>
      </w:r>
      <w:r>
        <w:rPr>
          <w:rFonts w:ascii="Times New Roman" w:cs="Times New Roman" w:eastAsia="Times New Roman" w:hAnsi="Times New Roman"/>
          <w:sz w:val="16"/>
          <w:szCs w:val="16"/>
        </w:rPr>
        <w:t xml:space="preserve">, PMLR 139, 2021, pp. 10096–10106.</w:t>
      </w:r>
    </w:p>
    <w:p>
      <w:pPr>
        <w:spacing w:after="50" w:line="228"/>
        <w:ind w:left="300" w:hanging="3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Li, J. Chen, Y. Tang, C. Wang, B. A. Landman, and S. K. Zhou, "Transforming medical imaging with Transformers? A comparative review of key properties, current progresses, and future perspectives," </w:t>
      </w:r>
      <w:r>
        <w:rPr>
          <w:rFonts w:ascii="Times New Roman" w:cs="Times New Roman" w:eastAsia="Times New Roman" w:hAnsi="Times New Roman"/>
          <w:i/>
          <w:iCs/>
          <w:sz w:val="16"/>
          <w:szCs w:val="16"/>
        </w:rPr>
        <w:t xml:space="preserve">Med. Image Anal.</w:t>
      </w:r>
      <w:r>
        <w:rPr>
          <w:rFonts w:ascii="Times New Roman" w:cs="Times New Roman" w:eastAsia="Times New Roman" w:hAnsi="Times New Roman"/>
          <w:sz w:val="16"/>
          <w:szCs w:val="16"/>
        </w:rPr>
        <w:t xml:space="preserve">, vol. 85, Art. no. 102762, 2023.</w:t>
      </w:r>
    </w:p>
    <w:p>
      <w:pPr>
        <w:spacing w:after="50" w:line="228"/>
        <w:ind w:left="300" w:hanging="3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C. Matsoukas, J. F. Haslum, M. Söderberg, and K. Smith, "Is it time to replace CNNs with transformers for medical images?," in </w:t>
      </w:r>
      <w:r>
        <w:rPr>
          <w:rFonts w:ascii="Times New Roman" w:cs="Times New Roman" w:eastAsia="Times New Roman" w:hAnsi="Times New Roman"/>
          <w:i/>
          <w:iCs/>
          <w:sz w:val="16"/>
          <w:szCs w:val="16"/>
        </w:rPr>
        <w:t xml:space="preserve">Proc. ICCV Workshop Comput. Vis. Automated Med. Diagnosis (CVAMD)</w:t>
      </w:r>
      <w:r>
        <w:rPr>
          <w:rFonts w:ascii="Times New Roman" w:cs="Times New Roman" w:eastAsia="Times New Roman" w:hAnsi="Times New Roman"/>
          <w:sz w:val="16"/>
          <w:szCs w:val="16"/>
        </w:rPr>
        <w:t xml:space="preserve">, 2021, arXiv:2108.09038.</w:t>
      </w:r>
    </w:p>
    <w:p>
      <w:pPr>
        <w:spacing w:after="50" w:line="228"/>
        <w:ind w:left="300" w:hanging="3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S. Azizi et al., "Big self-supervised models advance medical image classification,"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2021, pp. 3478–3488.</w:t>
      </w:r>
    </w:p>
    <w:p>
      <w:pPr>
        <w:spacing w:after="50" w:line="228"/>
        <w:ind w:left="300" w:hanging="3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J. DeGrave, J. D. Janizek, and S.-I. Lee, "AI for radiographic COVID-19 detection selects shortcuts over signal,"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sz w:val="16"/>
          <w:szCs w:val="16"/>
        </w:rPr>
        <w:t xml:space="preserve">, vol. 3, pp. 610–619, 2021.</w:t>
      </w:r>
    </w:p>
    <w:p>
      <w:pPr>
        <w:spacing w:after="50" w:line="228"/>
        <w:ind w:left="300" w:hanging="3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J. W. Gichoya et al., "AI recognition of patient race in medical imaging: A modelling study," </w:t>
      </w:r>
      <w:r>
        <w:rPr>
          <w:rFonts w:ascii="Times New Roman" w:cs="Times New Roman" w:eastAsia="Times New Roman" w:hAnsi="Times New Roman"/>
          <w:i/>
          <w:iCs/>
          <w:sz w:val="16"/>
          <w:szCs w:val="16"/>
        </w:rPr>
        <w:t xml:space="preserve">Lancet Digit. Health</w:t>
      </w:r>
      <w:r>
        <w:rPr>
          <w:rFonts w:ascii="Times New Roman" w:cs="Times New Roman" w:eastAsia="Times New Roman" w:hAnsi="Times New Roman"/>
          <w:sz w:val="16"/>
          <w:szCs w:val="16"/>
        </w:rPr>
        <w:t xml:space="preserve">, vol. 4, no. 6, pp. e406–e414, Jun. 2022.</w:t>
      </w:r>
    </w:p>
    <w:p>
      <w:pPr>
        <w:spacing w:after="50" w:line="228"/>
        <w:ind w:left="300" w:hanging="3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I. Loshchilov and F. Hutter, "Decoupled weight decay regularization,"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2019.</w:t>
      </w:r>
    </w:p>
    <w:p>
      <w:pPr>
        <w:spacing w:after="50" w:line="228"/>
        <w:ind w:left="300" w:hanging="3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Paszke et al., "PyTorch: An imperative style, high-performance deep learning library,"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2019, pp. 8024–8035.</w:t>
      </w:r>
    </w:p>
    <w:sectPr>
      <w:footerReference w:type="default" r:id="rId6"/>
      <w:type w:val="continuous"/>
      <w:pgSz w:w="12240" w:h="15840" w:orient="portrait"/>
      <w:pgMar w:top="1000" w:right="1080" w:bottom="90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1c8d3babdc2efcc8d911f87eabb0671868fa76.png"/><Relationship Id="rId9" Type="http://schemas.openxmlformats.org/officeDocument/2006/relationships/image" Target="media/e73f9206e1bf0c2df4469f77d3673adb806a05e8.png"/><Relationship Id="rId10" Type="http://schemas.openxmlformats.org/officeDocument/2006/relationships/image" Target="media/b8d390b33ecdaff2b0657ca18085539fad8d9e3c.png"/><Relationship Id="rId11" Type="http://schemas.openxmlformats.org/officeDocument/2006/relationships/image" Target="media/4e8768b102b31a4cdbbb70a49dca75b84da4733c.png"/><Relationship Id="rId12" Type="http://schemas.openxmlformats.org/officeDocument/2006/relationships/image" Target="media/6c46cf41ec82d6e63749fb09ce941cd0ce276fd9.png"/><Relationship Id="rId13" Type="http://schemas.openxmlformats.org/officeDocument/2006/relationships/image" Target="media/b6c5de9d4f418ac904776e86815bd6494fe93beb.png"/><Relationship Id="rId14" Type="http://schemas.openxmlformats.org/officeDocument/2006/relationships/image" Target="media/1cefbeeb863322b8f312c3d744993c03440c0e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Intravenous Contrast in CT Slices with Deep Learning</dc:title>
  <dc:creator>Abhinava Kotha</dc:creator>
  <cp:lastModifiedBy>Un-named</cp:lastModifiedBy>
  <cp:revision>1</cp:revision>
  <dcterms:created xsi:type="dcterms:W3CDTF">2026-10-24T12:10:34.161Z</dcterms:created>
  <dcterms:modified xsi:type="dcterms:W3CDTF">2026-10-24T12:10:34.161Z</dcterms:modified>
</cp:coreProperties>
</file>

<file path=docProps/custom.xml><?xml version="1.0" encoding="utf-8"?>
<Properties xmlns="http://schemas.openxmlformats.org/officeDocument/2006/custom-properties" xmlns:vt="http://schemas.openxmlformats.org/officeDocument/2006/docPropsVTypes"/>
</file>