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Retail Sales &amp; Inventory Performance Analysis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Prepared for: Business Analytics &amp; Information Management coursework / portfolio project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Analyst: Akash Mahalingam  |  Period covered: Jan 2023 – Dec 2024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This project analyzes two years of retail transaction data to identify what drives sales and profitability, and to recommend where the business should focus. The workflow mirrors a real analyst task: pull raw data, clean it, analyze trends, visualize findings, and translate results into a recommendation.</w:t>
      </w:r>
    </w:p>
    <w:p>
      <w:pPr>
        <w:pStyle w:val="Heading2"/>
        <w:spacing w:after="120" w:before="250"/>
      </w:pPr>
      <w:r>
        <w:t xml:space="preserve">Business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product categories and regions generate the most revenue and profit?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there seasonality in sales that should inform inventory planning?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 discounts helping or hurting profitability?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should the business focus resources going forward?</w:t>
      </w:r>
    </w:p>
    <w:p>
      <w:pPr>
        <w:pStyle w:val="Heading1"/>
        <w:spacing w:after="150" w:before="300"/>
      </w:pPr>
      <w:r>
        <w:t xml:space="preserve">2. Data &amp; Cleaning</w:t>
      </w:r>
    </w:p>
    <w:p>
      <w:pPr>
        <w:spacing w:after="120"/>
      </w:pPr>
      <w:r>
        <w:t xml:space="preserve">The raw dataset contained 3,000 orders across three categories (Furniture, Office Supplies, Technology), four regions, and three customer segments. Before analysis, the following data quality issues were found and fixed: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discount values (15 rows) — filled with 0, assuming no discount was applied.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Inconsistent region capitalization (e.g. 'east' vs 'East') — standardized to title case.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 values stored as text with trailing whitespace — stripped and converted to numeric.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dates parsed into proper datetime format and grouped into months for trend analysis.</w:t>
      </w:r>
    </w:p>
    <w:p>
      <w:pPr>
        <w:spacing w:after="120"/>
      </w:pPr>
      <w:r>
        <w:t xml:space="preserve">This step matters because uncleaned data (mismatched capitalization, wrong types) silently breaks groupings and totals — a common real-world gotcha.</w:t>
      </w:r>
    </w:p>
    <w:p>
      <w:pPr>
        <w:pStyle w:val="Heading1"/>
        <w:spacing w:after="150" w:before="300"/>
      </w:pPr>
      <w:r>
        <w:t xml:space="preserve">3. Key Findings</w:t>
      </w:r>
    </w:p>
    <w:p>
      <w:pPr>
        <w:pStyle w:val="Heading2"/>
        <w:spacing w:after="120" w:before="250"/>
      </w:pPr>
      <w:r>
        <w:t xml:space="preserve">3.1 Overall Performance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500"/>
      </w:tblGrid>
      <w:tr>
        <w:tc>
          <w:tcPr>
            <w:tcW w:type="dxa" w:w="45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5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Total Sales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$2,480,186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Total Profit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$736,751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  <w:color w:val="000000"/>
              </w:rPr>
              <w:t xml:space="preserve">Overall Profit Margin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29.7%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3.2 Sales by Category</w:t>
      </w:r>
    </w:p>
    <w:p>
      <w:pPr>
        <w:spacing w:after="200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Technology drives the largest share of revenue ($1.55M), more than double Furniture ($763K) and nearly 9x Office Supplies ($171K). Technology is also the most profitable category ($461K profit), so it's the clear priority for marketing and inventory investment.</w:t>
      </w:r>
    </w:p>
    <w:p>
      <w:pPr>
        <w:pStyle w:val="Heading2"/>
        <w:spacing w:after="120" w:before="250"/>
      </w:pPr>
      <w:r>
        <w:t xml:space="preserve">3.3 Sales by Region</w:t>
      </w:r>
    </w:p>
    <w:p>
      <w:pPr>
        <w:spacing w:after="200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Regional performance is fairly balanced, with Central ($652K) and South ($638K) slightly ahead of East ($606K) and West ($585K). No single region is underperforming dramatically, suggesting demand is broadly national rather than concentrated.</w:t>
      </w:r>
    </w:p>
    <w:p>
      <w:pPr>
        <w:pStyle w:val="Heading2"/>
        <w:spacing w:after="120" w:before="250"/>
      </w:pPr>
      <w:r>
        <w:t xml:space="preserve">3.4 Monthly Sales Trend</w:t>
      </w:r>
    </w:p>
    <w:p>
      <w:pPr>
        <w:spacing w:after="200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Sales spike sharply every November–December, consistent with holiday shopping season. Inventory and staffing should be scaled up ahead of Q4 each year to avoid stockouts during peak demand.</w:t>
      </w:r>
    </w:p>
    <w:p>
      <w:pPr>
        <w:pStyle w:val="Heading2"/>
        <w:spacing w:after="120" w:before="250"/>
      </w:pPr>
      <w:r>
        <w:t xml:space="preserve">3.5 Top Sub-Categories</w:t>
      </w:r>
    </w:p>
    <w:p>
      <w:pPr>
        <w:spacing w:after="200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Machines, Phones, Accessories, and Copiers (all Technology) are the top four sub-categories by sales, reinforcing that Technology is the category to protect and grow.</w:t>
      </w:r>
    </w:p>
    <w:p>
      <w:pPr>
        <w:pStyle w:val="Heading2"/>
        <w:spacing w:after="120" w:before="250"/>
      </w:pPr>
      <w:r>
        <w:t xml:space="preserve">3.6 Discount Impact</w:t>
      </w:r>
    </w:p>
    <w:p>
      <w:pPr>
        <w:spacing w:after="120"/>
      </w:pPr>
      <w:r>
        <w:t xml:space="preserve">Average profit per order drops as discount size increases: $307 for orders with no discount, $223 for discounts up to 15%, and just $167 for discounts above 15%. Heavy discounting is eroding margin faster than it's driving volume — a signal to cap discounts at 15% except for planned clearance events.</w:t>
      </w:r>
    </w:p>
    <w:p>
      <w:pPr>
        <w:pStyle w:val="Heading1"/>
        <w:spacing w:after="150" w:before="300"/>
      </w:pPr>
      <w:r>
        <w:t xml:space="preserve">4.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Prioritize Technology inventory and marketing spend — it drives the most revenue and the highest profit.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up inventory ahead of Q4 to meet the recurring November–December demand spike.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 standard discounts at 15%; reserve deeper discounts for deliberate clearance of slow-moving stock (e.g. Office Supplies).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why Office Supplies underperforms — consider bundling with Technology purchases to lift its sales.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Maintain current regional distribution strategy since performance is balanced — no urgent reallocation needed.</w:t>
      </w:r>
    </w:p>
    <w:p>
      <w:pPr>
        <w:pStyle w:val="Heading1"/>
        <w:spacing w:after="150" w:before="300"/>
      </w:pPr>
      <w:r>
        <w:t xml:space="preserve">5. Methodology Note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Data was synthetically generated to mirror realistic retail patterns (seasonality, category mix, discount behavior) for this exercise. The same workflow — clean, analyze, visualize, recommend — applies directly to real datasets such as a company's POS export or a public dataset like the Superstore sales dataset.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Tools used: Python (pandas for cleaning/analysis, matplotlib for charts). Equally doable in Excel with PivotTables and PivotCharts, or Tableau/Power BI for the dashboard layer.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65c25995ae66a3ebfed60621771e9bbdd5021a.png"/><Relationship Id="rId8" Type="http://schemas.openxmlformats.org/officeDocument/2006/relationships/image" Target="media/64465f4b29648f46a5469240d024d9a69c8e7188.png"/><Relationship Id="rId9" Type="http://schemas.openxmlformats.org/officeDocument/2006/relationships/image" Target="media/9dcd8946f8a4ac9a791172b597dc3518a576db5f.png"/><Relationship Id="rId10" Type="http://schemas.openxmlformats.org/officeDocument/2006/relationships/image" Target="media/8551805ab1971099766857838a0e2013e6ed3bb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2026-09-17T01:52:48.873Z</dcterms:created>
  <dcterms:modified xsi:type="dcterms:W3CDTF">2026-09-17T01:52:48.873Z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