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Superstore Sales &amp; Profitability Analysis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Dataset: Sample Superstore (public dataset, 9,994 orders, 2017–2020)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Analyst: Akash Mahalingam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analyzes the Sample Superstore dataset — a widely-used, real-world-style retail dataset covering ~10,000 orders across the US from 2017 to 2020. The goal was to find where the business makes and loses money, and turn that into a concrete recommendation.</w:t>
      </w:r>
    </w:p>
    <w:p>
      <w:pPr>
        <w:pStyle w:val="Heading2"/>
        <w:spacing w:after="120" w:before="250"/>
      </w:pPr>
      <w:r>
        <w:t xml:space="preserve">Business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categories and regions drive the most sales and profit?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any products or categories actually losing money?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does discounting affect profitability?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should the business change?</w:t>
      </w:r>
    </w:p>
    <w:p>
      <w:pPr>
        <w:pStyle w:val="Heading1"/>
        <w:spacing w:after="150" w:before="300"/>
      </w:pPr>
      <w:r>
        <w:t xml:space="preserve">2. Data Cleaning</w:t>
      </w:r>
    </w:p>
    <w:p>
      <w:pPr>
        <w:spacing w:after="120"/>
      </w:pPr>
      <w:r>
        <w:t xml:space="preserve">The raw file (Excel, 21 columns) had real data-quality problems typical of exported business data: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stored as text with a dollar sign (e.g. "$378.0") — stripped and converted to numeric.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 stored in accounting format, where losses are wrapped in parentheses (e.g. "($88)" means -$88) — parsed into signed numeric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13 missing Postal Codes, and a handful of missing Order Dates, Segments, Regions, and Categories — rows missing a date, category, sales, or profit value (5 rows) were dropped since they can't be analyzed; missing Segment/Region were labeled "Unknown" instead of dropped, since the row still carries usable sales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Date parsed into a proper datetime and grouped into months for trend analysis.</w:t>
      </w:r>
    </w:p>
    <w:p>
      <w:pPr>
        <w:spacing w:after="120"/>
      </w:pPr>
      <w:r>
        <w:t xml:space="preserve">This step is the difference between a report that looks right and one that is right — the $ and parentheses formatting alone would silently break any sum() if not handled first.</w:t>
      </w:r>
    </w:p>
    <w:p>
      <w:pPr>
        <w:pStyle w:val="Heading1"/>
        <w:spacing w:after="150" w:before="300"/>
      </w:pPr>
      <w:r>
        <w:t xml:space="preserve">3. Key Findings</w:t>
      </w:r>
    </w:p>
    <w:p>
      <w:pPr>
        <w:pStyle w:val="Heading2"/>
        <w:spacing w:after="120" w:before="250"/>
      </w:pPr>
      <w:r>
        <w:t xml:space="preserve">3.1 Overall Performance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Total Sales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$2,297,066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Total Profit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$286,341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Overall Profit Margin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12.5%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 12.5% margin is thin for retail — worth investigating where it's being eaten away (see 3.2 and 3.4).</w:t>
      </w:r>
    </w:p>
    <w:p>
      <w:pPr>
        <w:pStyle w:val="Heading2"/>
        <w:spacing w:after="120" w:before="250"/>
      </w:pPr>
      <w:r>
        <w:t xml:space="preserve">3.2 Profit by Category — Furniture Is a Problem</w:t>
      </w:r>
    </w:p>
    <w:p>
      <w:pPr>
        <w:spacing w:after="200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Furniture generates almost as much in sales as Technology ($742K vs $836K) but produces only $18K in profit — a razor-thin 2.5% margin — while Technology converts sales to profit far more efficiently ($145K profit, 17% margin). Office Supplies, despite the lowest sales, actually out-profits Furniture.</w:t>
      </w:r>
    </w:p>
    <w:p>
      <w:pPr>
        <w:pStyle w:val="Heading2"/>
        <w:spacing w:after="120" w:before="250"/>
      </w:pPr>
      <w:r>
        <w:t xml:space="preserve">3.3 The Sub-Category Losing Money</w:t>
      </w:r>
    </w:p>
    <w:p>
      <w:pPr>
        <w:spacing w:after="200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Tables lose money overall (-$17,733 in total profit) despite $207K in sales — every table sold is, on average, a net loss once cost and discounting are factored in. Bookcases are also a small net loss. These two sub-categories are dragging down Furniture's entire category performance.</w:t>
      </w:r>
    </w:p>
    <w:p>
      <w:pPr>
        <w:pStyle w:val="Heading2"/>
        <w:spacing w:after="120" w:before="250"/>
      </w:pPr>
      <w:r>
        <w:t xml:space="preserve">3.4 Discounting Is Actively Destroying Profit</w:t>
      </w:r>
    </w:p>
    <w:p>
      <w:pPr>
        <w:spacing w:after="120"/>
      </w:pPr>
      <w:r>
        <w:t xml:space="preserve">Average profit per order by discount level: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Discount Level</w:t>
            </w:r>
          </w:p>
        </w:tc>
        <w:tc>
          <w:tcPr>
            <w:tcW w:type="dxa" w:w="3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Avg. Profit / Order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No discount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$66.91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Low (≤20%)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$26.52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High (&gt;20%)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-$97.25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This is the clearest finding in the dataset: orders with discounts above 20% lose money on average. Whatever volume they generate is not covering the margin given up.</w:t>
      </w:r>
    </w:p>
    <w:p>
      <w:pPr>
        <w:pStyle w:val="Heading2"/>
        <w:spacing w:after="120" w:before="250"/>
      </w:pPr>
      <w:r>
        <w:t xml:space="preserve">3.5 Sales by Region</w:t>
      </w:r>
    </w:p>
    <w:p>
      <w:pPr>
        <w:spacing w:after="200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West ($725K) and East ($679K) lead in sales; the South trails at $392K — worth a closer look at whether that's a demand gap or a distribution/marketing gap.</w:t>
      </w:r>
    </w:p>
    <w:p>
      <w:pPr>
        <w:pStyle w:val="Heading2"/>
        <w:spacing w:after="120" w:before="250"/>
      </w:pPr>
      <w:r>
        <w:t xml:space="preserve">3.6 Monthly Trend</w:t>
      </w:r>
    </w:p>
    <w:p>
      <w:pPr>
        <w:spacing w:after="200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Sales climb steadily through each year with a pronounced November–December peak, consistent with holiday retail seasonality — inventory and staffing should scale up ahead of Q4.</w:t>
      </w:r>
    </w:p>
    <w:p>
      <w:pPr>
        <w:pStyle w:val="Heading1"/>
        <w:spacing w:after="150" w:before="300"/>
      </w:pPr>
      <w:r>
        <w:t xml:space="preserve">4.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 discounts at 20% as standard policy — anything higher is losing money on average and should be reserved for deliberate clearance.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Re-price or re-negotiate supplier costs on Tables and Bookcases — they are structurally unprofitable at current pricing.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marketing/inventory investment toward Technology, which converts sales to profit most efficiently.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the South region's lower sales — could be under-marketed rather than genuinely lower demand.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Q4 inventory ahead of the recurring November–December demand spike.</w:t>
      </w:r>
    </w:p>
    <w:p>
      <w:pPr>
        <w:pStyle w:val="Heading1"/>
        <w:spacing w:after="150" w:before="300"/>
      </w:pPr>
      <w:r>
        <w:t xml:space="preserve">5. Methodology Note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Dataset: Sample Superstore, a public dataset (originally distributed with Tableau) commonly used for BI/analytics practice and interviews. Tools used: Python (pandas for cleaning and aggregation, matplotlib for charts). The same analysis is doable in Excel with PivotTables, or Power BI/Tableau for an interactive dashboard version.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ecd89862e372befc2b81446096d4d87ee8b19e.png"/><Relationship Id="rId8" Type="http://schemas.openxmlformats.org/officeDocument/2006/relationships/image" Target="media/a7f0e50aa23402cf9c63ffb3f0e7e9a3cd4d5646.png"/><Relationship Id="rId9" Type="http://schemas.openxmlformats.org/officeDocument/2006/relationships/image" Target="media/50aad898d404f12e4da9f1585345579a04015d2e.png"/><Relationship Id="rId10" Type="http://schemas.openxmlformats.org/officeDocument/2006/relationships/image" Target="media/37dd95a72b6c64b3e737670fe2468961a518dc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2026-09-17T01:52:48.656Z</dcterms:created>
  <dcterms:modified xsi:type="dcterms:W3CDTF">2026-09-17T01:52:48.664Z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