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Superstore Sales &amp; Profitability Analysis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Dataset: Sample Superstore (public dataset, 9,994 orders, 2017–2020)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Analyst: Harvey</w:t>
      </w:r>
    </w:p>
    <w:p>
      <w:pPr>
        <w:pStyle w:val="Heading1"/>
        <w:spacing w:after="150" w:before="300"/>
      </w:pPr>
      <w:r>
        <w:t xml:space="preserve">1. Project Overview</w:t>
      </w:r>
    </w:p>
    <w:p>
      <w:pPr>
        <w:spacing w:after="120"/>
      </w:pPr>
      <w:r>
        <w:t xml:space="preserve">This project analyzes the Sample Superstore dataset — a widely-used, real-world-style retail dataset covering ~10,000 orders across the US from 2017 to 2020. The goal was to find where the business makes and loses money, and turn that into a concrete recommendation.</w:t>
      </w:r>
    </w:p>
    <w:p>
      <w:pPr>
        <w:pStyle w:val="Heading2"/>
        <w:spacing w:after="120" w:before="250"/>
      </w:pPr>
      <w:r>
        <w:t xml:space="preserve">Business Questions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Which categories and regions drive the most sales and profit?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Are any products or categories actually losing money?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How does discounting affect profitability?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What should the business change?</w:t>
      </w:r>
    </w:p>
    <w:p>
      <w:pPr>
        <w:pStyle w:val="Heading1"/>
        <w:spacing w:after="150" w:before="300"/>
      </w:pPr>
      <w:r>
        <w:t xml:space="preserve">2. Data Cleaning</w:t>
      </w:r>
    </w:p>
    <w:p>
      <w:pPr>
        <w:spacing w:after="120"/>
      </w:pPr>
      <w:r>
        <w:t xml:space="preserve">The raw file (Excel, 21 columns) had real data-quality problems typical of exported business data: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Sales stored as text with a dollar sign (e.g. "$378.0") — stripped and converted to numeric.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Profit stored in accounting format, where losses are wrapped in parentheses (e.g. "($88)" means -$88) — parsed into signed numeric values.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13 missing Postal Codes, and a handful of missing Order Dates, Segments, Regions, and Categories — rows missing a date, category, sales, or profit value (5 rows) were dropped since they can't be analyzed; missing Segment/Region were labeled "Unknown" instead of dropped, since the row still carries usable sales data.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Order Date parsed into a proper datetime and grouped into months for trend analysis.</w:t>
      </w:r>
    </w:p>
    <w:p>
      <w:pPr>
        <w:spacing w:after="120"/>
      </w:pPr>
      <w:r>
        <w:t xml:space="preserve">This step is the difference between a report that looks right and one that is right — the $ and parentheses formatting alone would silently break any sum() if not handled first.</w:t>
      </w:r>
    </w:p>
    <w:p>
      <w:pPr>
        <w:pStyle w:val="Heading1"/>
        <w:spacing w:after="150" w:before="300"/>
      </w:pPr>
      <w:r>
        <w:t xml:space="preserve">3. Key Findings</w:t>
      </w:r>
    </w:p>
    <w:p>
      <w:pPr>
        <w:pStyle w:val="Heading2"/>
        <w:spacing w:after="120" w:before="250"/>
      </w:pPr>
      <w:r>
        <w:t xml:space="preserve">3.1 Overall Performance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3500"/>
      </w:tblGrid>
      <w:tr>
        <w:tc>
          <w:tcPr>
            <w:tcW w:type="dxa" w:w="4500"/>
            <w:shd w:fill="1F2937" w:val="clear"/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tcW w:type="dxa" w:w="3500"/>
            <w:shd w:fill="1F2937" w:val="clear"/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color w:val="000000"/>
              </w:rPr>
              <w:t xml:space="preserve">Total Sales</w:t>
            </w:r>
          </w:p>
        </w:tc>
        <w:tc>
          <w:tcPr>
            <w:tcW w:type="dxa" w:w="3500"/>
          </w:tcPr>
          <w:p>
            <w:r>
              <w:rPr>
                <w:b w:val="false"/>
                <w:bCs w:val="false"/>
                <w:color w:val="000000"/>
              </w:rPr>
              <w:t xml:space="preserve">$2,297,066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color w:val="000000"/>
              </w:rPr>
              <w:t xml:space="preserve">Total Profit</w:t>
            </w:r>
          </w:p>
        </w:tc>
        <w:tc>
          <w:tcPr>
            <w:tcW w:type="dxa" w:w="3500"/>
          </w:tcPr>
          <w:p>
            <w:r>
              <w:rPr>
                <w:b w:val="false"/>
                <w:bCs w:val="false"/>
                <w:color w:val="000000"/>
              </w:rPr>
              <w:t xml:space="preserve">$286,341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color w:val="000000"/>
              </w:rPr>
              <w:t xml:space="preserve">Overall Profit Margin</w:t>
            </w:r>
          </w:p>
        </w:tc>
        <w:tc>
          <w:tcPr>
            <w:tcW w:type="dxa" w:w="3500"/>
          </w:tcPr>
          <w:p>
            <w:r>
              <w:rPr>
                <w:b w:val="false"/>
                <w:bCs w:val="false"/>
                <w:color w:val="000000"/>
              </w:rPr>
              <w:t xml:space="preserve">12.5%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A 12.5% margin is thin for retail — worth investigating where it's being eaten away (see 3.2 and 3.4).</w:t>
      </w:r>
    </w:p>
    <w:p>
      <w:pPr>
        <w:pStyle w:val="Heading2"/>
        <w:spacing w:after="120" w:before="250"/>
      </w:pPr>
      <w:r>
        <w:t xml:space="preserve">3.2 Profit by Category — Furniture Is a Problem</w:t>
      </w:r>
    </w:p>
    <w:p>
      <w:pPr>
        <w:spacing w:after="200"/>
      </w:pPr>
      <w:r>
        <w:drawing>
          <wp:inline distT="0" distB="0" distL="0" distR="0">
            <wp:extent cx="4953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Furniture generates almost as much in sales as Technology ($742K vs $836K) but produces only $18K in profit — a razor-thin 2.5% margin — while Technology converts sales to profit far more efficiently ($145K profit, 17% margin). Office Supplies, despite the lowest sales, actually out-profits Furniture.</w:t>
      </w:r>
    </w:p>
    <w:p>
      <w:pPr>
        <w:pStyle w:val="Heading2"/>
        <w:spacing w:after="120" w:before="250"/>
      </w:pPr>
      <w:r>
        <w:t xml:space="preserve">3.3 The Sub-Category Losing Money</w:t>
      </w:r>
    </w:p>
    <w:p>
      <w:pPr>
        <w:spacing w:after="200"/>
      </w:pPr>
      <w:r>
        <w:drawing>
          <wp:inline distT="0" distB="0" distL="0" distR="0">
            <wp:extent cx="4953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Tables lose money overall (-$17,733 in total profit) despite $207K in sales — every table sold is, on average, a net loss once cost and discounting are factored in. Bookcases are also a small net loss. These two sub-categories are dragging down Furniture's entire category performance.</w:t>
      </w:r>
    </w:p>
    <w:p>
      <w:pPr>
        <w:pStyle w:val="Heading2"/>
        <w:spacing w:after="120" w:before="250"/>
      </w:pPr>
      <w:r>
        <w:t xml:space="preserve">3.4 Discounting Is Actively Destroying Profit</w:t>
      </w:r>
    </w:p>
    <w:p>
      <w:pPr>
        <w:spacing w:after="120"/>
      </w:pPr>
      <w:r>
        <w:t xml:space="preserve">Average profit per order by discount level: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3500"/>
      </w:tblGrid>
      <w:tr>
        <w:tc>
          <w:tcPr>
            <w:tcW w:type="dxa" w:w="4500"/>
            <w:shd w:fill="1F2937" w:val="clear"/>
          </w:tcPr>
          <w:p>
            <w:r>
              <w:rPr>
                <w:b/>
                <w:bCs/>
                <w:color w:val="FFFFFF"/>
              </w:rPr>
              <w:t xml:space="preserve">Discount Level</w:t>
            </w:r>
          </w:p>
        </w:tc>
        <w:tc>
          <w:tcPr>
            <w:tcW w:type="dxa" w:w="3500"/>
            <w:shd w:fill="1F2937" w:val="clear"/>
          </w:tcPr>
          <w:p>
            <w:r>
              <w:rPr>
                <w:b/>
                <w:bCs/>
                <w:color w:val="FFFFFF"/>
              </w:rPr>
              <w:t xml:space="preserve">Avg. Profit / Order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color w:val="000000"/>
              </w:rPr>
              <w:t xml:space="preserve">No discount</w:t>
            </w:r>
          </w:p>
        </w:tc>
        <w:tc>
          <w:tcPr>
            <w:tcW w:type="dxa" w:w="3500"/>
          </w:tcPr>
          <w:p>
            <w:r>
              <w:rPr>
                <w:b w:val="false"/>
                <w:bCs w:val="false"/>
                <w:color w:val="000000"/>
              </w:rPr>
              <w:t xml:space="preserve">$66.91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color w:val="000000"/>
              </w:rPr>
              <w:t xml:space="preserve">Low (≤20%)</w:t>
            </w:r>
          </w:p>
        </w:tc>
        <w:tc>
          <w:tcPr>
            <w:tcW w:type="dxa" w:w="3500"/>
          </w:tcPr>
          <w:p>
            <w:r>
              <w:rPr>
                <w:b w:val="false"/>
                <w:bCs w:val="false"/>
                <w:color w:val="000000"/>
              </w:rPr>
              <w:t xml:space="preserve">$26.52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color w:val="000000"/>
              </w:rPr>
              <w:t xml:space="preserve">High (&gt;20%)</w:t>
            </w:r>
          </w:p>
        </w:tc>
        <w:tc>
          <w:tcPr>
            <w:tcW w:type="dxa" w:w="3500"/>
          </w:tcPr>
          <w:p>
            <w:r>
              <w:rPr>
                <w:b w:val="false"/>
                <w:bCs w:val="false"/>
                <w:color w:val="000000"/>
              </w:rPr>
              <w:t xml:space="preserve">-$97.25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This is the clearest finding in the dataset: orders with discounts above 20% lose money on average. Whatever volume they generate is not covering the margin given up.</w:t>
      </w:r>
    </w:p>
    <w:p>
      <w:pPr>
        <w:pStyle w:val="Heading2"/>
        <w:spacing w:after="120" w:before="250"/>
      </w:pPr>
      <w:r>
        <w:t xml:space="preserve">3.5 Sales by Region</w:t>
      </w:r>
    </w:p>
    <w:p>
      <w:pPr>
        <w:spacing w:after="200"/>
      </w:pPr>
      <w:r>
        <w:drawing>
          <wp:inline distT="0" distB="0" distL="0" distR="0">
            <wp:extent cx="4953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The West ($725K) and East ($679K) lead in sales; the South trails at $392K — worth a closer look at whether that's a demand gap or a distribution/marketing gap.</w:t>
      </w:r>
    </w:p>
    <w:p>
      <w:pPr>
        <w:pStyle w:val="Heading2"/>
        <w:spacing w:after="120" w:before="250"/>
      </w:pPr>
      <w:r>
        <w:t xml:space="preserve">3.6 Monthly Trend</w:t>
      </w:r>
    </w:p>
    <w:p>
      <w:pPr>
        <w:spacing w:after="200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Sales climb steadily through each year with a pronounced November–December peak, consistent with holiday retail seasonality — inventory and staffing should scale up ahead of Q4.</w:t>
      </w:r>
    </w:p>
    <w:p>
      <w:pPr>
        <w:pStyle w:val="Heading1"/>
        <w:spacing w:after="150" w:before="300"/>
      </w:pPr>
      <w:r>
        <w:t xml:space="preserve">4. Recommendations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Cap discounts at 20% as standard policy — anything higher is losing money on average and should be reserved for deliberate clearance.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Re-price or re-negotiate supplier costs on Tables and Bookcases — they are structurally unprofitable at current pricing.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Shift marketing/inventory investment toward Technology, which converts sales to profit most efficiently.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Investigate the South region's lower sales — could be under-marketed rather than genuinely lower demand.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Build Q4 inventory ahead of the recurring November–December demand spike.</w:t>
      </w:r>
    </w:p>
    <w:p>
      <w:pPr>
        <w:pStyle w:val="Heading1"/>
        <w:spacing w:after="150" w:before="300"/>
      </w:pPr>
      <w:r>
        <w:t xml:space="preserve">5. Methodology Note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Dataset: Sample Superstore, a public dataset (originally distributed with Tableau) commonly used for BI/analytics practice and interviews. Tools used: Python (pandas for cleaning and aggregation, matplotlib for charts). The same analysis is doable in Excel with PivotTables, or Power BI/Tableau for an interactive dashboard version.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4ecd89862e372befc2b81446096d4d87ee8b19e.png"/><Relationship Id="rId8" Type="http://schemas.openxmlformats.org/officeDocument/2006/relationships/image" Target="media/a7f0e50aa23402cf9c63ffb3f0e7e9a3cd4d5646.png"/><Relationship Id="rId9" Type="http://schemas.openxmlformats.org/officeDocument/2006/relationships/image" Target="media/50aad898d404f12e4da9f1585345579a04015d2e.png"/><Relationship Id="rId10" Type="http://schemas.openxmlformats.org/officeDocument/2006/relationships/image" Target="media/37dd95a72b6c64b3e737670fe2468961a518dc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2026-09-17T01:21:18.439Z</dcterms:created>
  <dcterms:modified xsi:type="dcterms:W3CDTF">2026-09-17T01:21:18.448Z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