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26"/>
        </w:rPr>
        <w:t>Customer Journey Map — IT Support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23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t>Team ID</w:t>
            </w:r>
          </w:p>
        </w:tc>
        <w:tc>
          <w:tcPr>
            <w:tcW w:type="dxa" w:w="5112"/>
          </w:tcPr>
          <w:p>
            <w:r>
              <w:t>SWTID-2026-8980</w:t>
            </w:r>
          </w:p>
        </w:tc>
      </w:tr>
      <w:tr>
        <w:tc>
          <w:tcPr>
            <w:tcW w:type="dxa" w:w="5112"/>
            <w:shd w:fill="D9EAF7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112"/>
          </w:tcPr>
          <w:p>
            <w:r>
              <w:t>Institution / Dept</w:t>
            </w:r>
          </w:p>
        </w:tc>
        <w:tc>
          <w:tcPr>
            <w:tcW w:type="dxa" w:w="5112"/>
          </w:tcPr>
          <w:p>
            <w:r>
              <w:t>Jaya Engineering College (JEC) / CSE (Anna University Reg. 2021)</w:t>
            </w:r>
          </w:p>
        </w:tc>
      </w:tr>
    </w:tbl>
    <w:p/>
    <w:p>
      <w:r>
        <w:t>This document adapts the uploaded customer journey map example to the project's actual users and workflow. It is a conceptual journey based on the supplied implementation description, not a claim that interviews or usability studies were conducted.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Journey Stage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Discover / Start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Create Ticket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Automatic Classification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Confirmation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Helpdesk Follow-up / Closure</w:t>
            </w:r>
          </w:p>
        </w:tc>
      </w:tr>
      <w:tr>
        <w:tc>
          <w:tcPr>
            <w:tcW w:type="dxa" w:w="1704"/>
            <w:vAlign w:val="center"/>
          </w:tcPr>
          <w:p>
            <w:r>
              <w:t>User action</w:t>
            </w:r>
          </w:p>
        </w:tc>
        <w:tc>
          <w:tcPr>
            <w:tcW w:type="dxa" w:w="1704"/>
            <w:vAlign w:val="center"/>
          </w:tcPr>
          <w:p>
            <w:r>
              <w:t>Student or teacher identifies an IT issue such as Wi-Fi failure, projector failure, password/login issue, or a slow computer.</w:t>
            </w:r>
          </w:p>
        </w:tc>
        <w:tc>
          <w:tcPr>
            <w:tcW w:type="dxa" w:w="1704"/>
            <w:vAlign w:val="center"/>
          </w:tcPr>
          <w:p>
            <w:r>
              <w:t>Enters caller information and a short description; may add a longer description; submits the form.</w:t>
            </w:r>
          </w:p>
        </w:tc>
        <w:tc>
          <w:tcPr>
            <w:tcW w:type="dxa" w:w="1704"/>
            <w:vAlign w:val="center"/>
          </w:tcPr>
          <w:p>
            <w:r>
              <w:t>No manual category selection is required for the documented automation path. Flow Designer checks configured keywords.</w:t>
            </w:r>
          </w:p>
        </w:tc>
        <w:tc>
          <w:tcPr>
            <w:tcW w:type="dxa" w:w="1704"/>
            <w:vAlign w:val="center"/>
          </w:tcPr>
          <w:p>
            <w:r>
              <w:t>Receives an email confirmation if the caller email and email action are configured correctly.</w:t>
            </w:r>
          </w:p>
        </w:tc>
        <w:tc>
          <w:tcPr>
            <w:tcW w:type="dxa" w:w="1704"/>
            <w:vAlign w:val="center"/>
          </w:tcPr>
          <w:p>
            <w:r>
              <w:t>Helpdesk staff can review the stored ticket and manage state/assignment fields. Automated assignment or resolution is not documented.</w:t>
            </w:r>
          </w:p>
        </w:tc>
      </w:tr>
      <w:tr>
        <w:tc>
          <w:tcPr>
            <w:tcW w:type="dxa" w:w="1704"/>
            <w:vAlign w:val="center"/>
          </w:tcPr>
          <w:p>
            <w:r>
              <w:t>System touchpoint</w:t>
            </w:r>
          </w:p>
        </w:tc>
        <w:tc>
          <w:tcPr>
            <w:tcW w:type="dxa" w:w="1704"/>
            <w:vAlign w:val="center"/>
          </w:tcPr>
          <w:p>
            <w:r>
              <w:t>ServiceNow ticket form.</w:t>
            </w:r>
          </w:p>
        </w:tc>
        <w:tc>
          <w:tcPr>
            <w:tcW w:type="dxa" w:w="1704"/>
            <w:vAlign w:val="center"/>
          </w:tcPr>
          <w:p>
            <w:r>
              <w:t>Incident Workflow custom table creates a ticket record with auto-number.</w:t>
            </w:r>
          </w:p>
        </w:tc>
        <w:tc>
          <w:tcPr>
            <w:tcW w:type="dxa" w:w="1704"/>
            <w:vAlign w:val="center"/>
          </w:tcPr>
          <w:p>
            <w:r>
              <w:t>Flow Designer trigger: Record Created; condition: Category is empty; keyword-based If/Else If branches update fields.</w:t>
            </w:r>
          </w:p>
        </w:tc>
        <w:tc>
          <w:tcPr>
            <w:tcW w:type="dxa" w:w="1704"/>
            <w:vAlign w:val="center"/>
          </w:tcPr>
          <w:p>
            <w:r>
              <w:t>Flow Designer Send Email action; email sent to Caller.Email.</w:t>
            </w:r>
          </w:p>
        </w:tc>
        <w:tc>
          <w:tcPr>
            <w:tcW w:type="dxa" w:w="1704"/>
            <w:vAlign w:val="center"/>
          </w:tcPr>
          <w:p>
            <w:r>
              <w:t>Ticket record fields include State, Assigned Group, and Assigned To.</w:t>
            </w:r>
          </w:p>
        </w:tc>
      </w:tr>
      <w:tr>
        <w:tc>
          <w:tcPr>
            <w:tcW w:type="dxa" w:w="1704"/>
            <w:vAlign w:val="center"/>
          </w:tcPr>
          <w:p>
            <w:r>
              <w:t>User goal</w:t>
            </w:r>
          </w:p>
        </w:tc>
        <w:tc>
          <w:tcPr>
            <w:tcW w:type="dxa" w:w="1704"/>
            <w:vAlign w:val="center"/>
          </w:tcPr>
          <w:p>
            <w:r>
              <w:t>Get support for the issue.</w:t>
            </w:r>
          </w:p>
        </w:tc>
        <w:tc>
          <w:tcPr>
            <w:tcW w:type="dxa" w:w="1704"/>
            <w:vAlign w:val="center"/>
          </w:tcPr>
          <w:p>
            <w:r>
              <w:t>Submit a clear and complete request quickly.</w:t>
            </w:r>
          </w:p>
        </w:tc>
        <w:tc>
          <w:tcPr>
            <w:tcW w:type="dxa" w:w="1704"/>
            <w:vAlign w:val="center"/>
          </w:tcPr>
          <w:p>
            <w:r>
              <w:t>Have the issue categorized correctly without extra effort.</w:t>
            </w:r>
          </w:p>
        </w:tc>
        <w:tc>
          <w:tcPr>
            <w:tcW w:type="dxa" w:w="1704"/>
            <w:vAlign w:val="center"/>
          </w:tcPr>
          <w:p>
            <w:r>
              <w:t>Know the request was submitted.</w:t>
            </w:r>
          </w:p>
        </w:tc>
        <w:tc>
          <w:tcPr>
            <w:tcW w:type="dxa" w:w="1704"/>
            <w:vAlign w:val="center"/>
          </w:tcPr>
          <w:p>
            <w:r>
              <w:t>Have the issue tracked by the helpdesk.</w:t>
            </w:r>
          </w:p>
        </w:tc>
      </w:tr>
      <w:tr>
        <w:tc>
          <w:tcPr>
            <w:tcW w:type="dxa" w:w="1704"/>
            <w:vAlign w:val="center"/>
          </w:tcPr>
          <w:p>
            <w:r>
              <w:t>Positive experience to support</w:t>
            </w:r>
          </w:p>
        </w:tc>
        <w:tc>
          <w:tcPr>
            <w:tcW w:type="dxa" w:w="1704"/>
            <w:vAlign w:val="center"/>
          </w:tcPr>
          <w:p>
            <w:r>
              <w:t>Issue types are familiar and easy to describe.</w:t>
            </w:r>
          </w:p>
        </w:tc>
        <w:tc>
          <w:tcPr>
            <w:tcW w:type="dxa" w:w="1704"/>
            <w:vAlign w:val="center"/>
          </w:tcPr>
          <w:p>
            <w:r>
              <w:t>Short description and caller fields are straightforward.</w:t>
            </w:r>
          </w:p>
        </w:tc>
        <w:tc>
          <w:tcPr>
            <w:tcW w:type="dxa" w:w="1704"/>
            <w:vAlign w:val="center"/>
          </w:tcPr>
          <w:p>
            <w:r>
              <w:t>Automatic classification reduces manual effort and inconsistent category selection.</w:t>
            </w:r>
          </w:p>
        </w:tc>
        <w:tc>
          <w:tcPr>
            <w:tcW w:type="dxa" w:w="1704"/>
            <w:vAlign w:val="center"/>
          </w:tcPr>
          <w:p>
            <w:r>
              <w:t>Confirmation provides acknowledgement.</w:t>
            </w:r>
          </w:p>
        </w:tc>
        <w:tc>
          <w:tcPr>
            <w:tcW w:type="dxa" w:w="1704"/>
            <w:vAlign w:val="center"/>
          </w:tcPr>
          <w:p>
            <w:r>
              <w:t>Structured fields help support staff manage records.</w:t>
            </w:r>
          </w:p>
        </w:tc>
      </w:tr>
      <w:tr>
        <w:tc>
          <w:tcPr>
            <w:tcW w:type="dxa" w:w="1704"/>
            <w:vAlign w:val="center"/>
          </w:tcPr>
          <w:p>
            <w:r>
              <w:t>Possible friction / limitation</w:t>
            </w:r>
          </w:p>
        </w:tc>
        <w:tc>
          <w:tcPr>
            <w:tcW w:type="dxa" w:w="1704"/>
            <w:vAlign w:val="center"/>
          </w:tcPr>
          <w:p>
            <w:r>
              <w:t>User may not know how to describe the problem.</w:t>
            </w:r>
          </w:p>
        </w:tc>
        <w:tc>
          <w:tcPr>
            <w:tcW w:type="dxa" w:w="1704"/>
            <w:vAlign w:val="center"/>
          </w:tcPr>
          <w:p>
            <w:r>
              <w:t>Missing or vague keywords may not match any configured branch.</w:t>
            </w:r>
          </w:p>
        </w:tc>
        <w:tc>
          <w:tcPr>
            <w:tcW w:type="dxa" w:w="1704"/>
            <w:vAlign w:val="center"/>
          </w:tcPr>
          <w:p>
            <w:r>
              <w:t>Only configured keywords are recognized; no ML/NLP capability is documented.</w:t>
            </w:r>
          </w:p>
        </w:tc>
        <w:tc>
          <w:tcPr>
            <w:tcW w:type="dxa" w:w="1704"/>
            <w:vAlign w:val="center"/>
          </w:tcPr>
          <w:p>
            <w:r>
              <w:t>Email delivery depends on correct caller email and ServiceNow email configuration.</w:t>
            </w:r>
          </w:p>
        </w:tc>
        <w:tc>
          <w:tcPr>
            <w:tcW w:type="dxa" w:w="1704"/>
            <w:vAlign w:val="center"/>
          </w:tcPr>
          <w:p>
            <w:r>
              <w:t>Automatic assignment, SLA tracking, and automatic resolution are not part of the documented implementation.</w:t>
            </w:r>
          </w:p>
        </w:tc>
      </w:tr>
      <w:tr>
        <w:tc>
          <w:tcPr>
            <w:tcW w:type="dxa" w:w="1704"/>
            <w:vAlign w:val="center"/>
          </w:tcPr>
          <w:p>
            <w:r>
              <w:t>Opportunity / recommendation</w:t>
            </w:r>
          </w:p>
        </w:tc>
        <w:tc>
          <w:tcPr>
            <w:tcW w:type="dxa" w:w="1704"/>
            <w:vAlign w:val="center"/>
          </w:tcPr>
          <w:p>
            <w:r>
              <w:t>Provide clear examples of issue descriptions.</w:t>
            </w:r>
          </w:p>
        </w:tc>
        <w:tc>
          <w:tcPr>
            <w:tcW w:type="dxa" w:w="1704"/>
            <w:vAlign w:val="center"/>
          </w:tcPr>
          <w:p>
            <w:r>
              <w:t>Use a helpful field hint and validate required inputs if supported/configured.</w:t>
            </w:r>
          </w:p>
        </w:tc>
        <w:tc>
          <w:tcPr>
            <w:tcW w:type="dxa" w:w="1704"/>
            <w:vAlign w:val="center"/>
          </w:tcPr>
          <w:p>
            <w:r>
              <w:t>Test variations such as Wi-Fi/WiFi, Password/Login, Slow/Hanging; define a fallback for unmatched descriptions if approved.</w:t>
            </w:r>
          </w:p>
        </w:tc>
        <w:tc>
          <w:tcPr>
            <w:tcW w:type="dxa" w:w="1704"/>
            <w:vAlign w:val="center"/>
          </w:tcPr>
          <w:p>
            <w:r>
              <w:t>Verify email templates and outbound email settings in the target instance.</w:t>
            </w:r>
          </w:p>
        </w:tc>
        <w:tc>
          <w:tcPr>
            <w:tcW w:type="dxa" w:w="1704"/>
            <w:vAlign w:val="center"/>
          </w:tcPr>
          <w:p>
            <w:r>
              <w:t>Consider assignment automation or SLA tracking as future extensions, as mentioned in the project conclusion.</w:t>
            </w:r>
          </w:p>
        </w:tc>
      </w:tr>
    </w:tbl>
    <w:p/>
    <w:p>
      <w:pPr>
        <w:pStyle w:val="Heading1"/>
      </w:pPr>
      <w:r>
        <w:t>Documented keyword-to-category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Keyword(s) in Short 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Subcategory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Wi-Fi / Network</w:t>
            </w:r>
          </w:p>
        </w:tc>
        <w:tc>
          <w:tcPr>
            <w:tcW w:type="dxa" w:w="3408"/>
            <w:vAlign w:val="center"/>
          </w:tcPr>
          <w:p>
            <w:r>
              <w:t>Network</w:t>
            </w:r>
          </w:p>
        </w:tc>
        <w:tc>
          <w:tcPr>
            <w:tcW w:type="dxa" w:w="3408"/>
            <w:vAlign w:val="center"/>
          </w:tcPr>
          <w:p>
            <w:r>
              <w:t>Wi-Fi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Projector</w:t>
            </w:r>
          </w:p>
        </w:tc>
        <w:tc>
          <w:tcPr>
            <w:tcW w:type="dxa" w:w="3408"/>
            <w:vAlign w:val="center"/>
          </w:tcPr>
          <w:p>
            <w:r>
              <w:t>Hardware</w:t>
            </w:r>
          </w:p>
        </w:tc>
        <w:tc>
          <w:tcPr>
            <w:tcW w:type="dxa" w:w="3408"/>
            <w:vAlign w:val="center"/>
          </w:tcPr>
          <w:p>
            <w:r>
              <w:t>Projector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Password / Login</w:t>
            </w:r>
          </w:p>
        </w:tc>
        <w:tc>
          <w:tcPr>
            <w:tcW w:type="dxa" w:w="3408"/>
            <w:vAlign w:val="center"/>
          </w:tcPr>
          <w:p>
            <w:r>
              <w:t>Access</w:t>
            </w:r>
          </w:p>
        </w:tc>
        <w:tc>
          <w:tcPr>
            <w:tcW w:type="dxa" w:w="3408"/>
            <w:vAlign w:val="center"/>
          </w:tcPr>
          <w:p>
            <w:r>
              <w:t>Forgot Password</w:t>
            </w:r>
          </w:p>
        </w:tc>
      </w:tr>
      <w:tr>
        <w:tc>
          <w:tcPr>
            <w:tcW w:type="dxa" w:w="3408"/>
            <w:vAlign w:val="center"/>
          </w:tcPr>
          <w:p>
            <w:r>
              <w:t>Slow / Hanging</w:t>
            </w:r>
          </w:p>
        </w:tc>
        <w:tc>
          <w:tcPr>
            <w:tcW w:type="dxa" w:w="3408"/>
            <w:vAlign w:val="center"/>
          </w:tcPr>
          <w:p>
            <w:r>
              <w:t>Performance</w:t>
            </w:r>
          </w:p>
        </w:tc>
        <w:tc>
          <w:tcPr>
            <w:tcW w:type="dxa" w:w="3408"/>
            <w:vAlign w:val="center"/>
          </w:tcPr>
          <w:p>
            <w:r>
              <w:t>Slow Computer</w:t>
            </w:r>
          </w:p>
        </w:tc>
      </w:tr>
    </w:tbl>
    <w:p/>
    <w:p>
      <w:r>
        <w:t>Evidence boundary: The source project document describes the classification rules and email action, and provides example test scenarios for Wi-Fi and Projector. It does not report customer interviews, measured satisfaction, journey analytics, or observed user emotions; none are asserted here.</w:t>
      </w:r>
    </w:p>
    <w:p>
      <w:r/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