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Design Phase-II</w:t>
      </w:r>
    </w:p>
    <w:p>
      <w:pPr>
        <w:jc w:val="center"/>
      </w:pPr>
      <w:r>
        <w:rPr>
          <w:b/>
          <w:sz w:val="26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23 October 2026</w:t>
            </w:r>
          </w:p>
        </w:tc>
      </w:tr>
      <w:tr>
        <w:tc>
          <w:tcPr>
            <w:tcW w:type="dxa" w:w="5112"/>
            <w:shd w:fill="D9EAF7"/>
          </w:tcPr>
          <w:p>
            <w:r>
              <w:t>Team ID</w:t>
            </w:r>
          </w:p>
        </w:tc>
        <w:tc>
          <w:tcPr>
            <w:tcW w:type="dxa" w:w="5112"/>
          </w:tcPr>
          <w:p>
            <w:r>
              <w:t>SWTID-2026-8980</w:t>
            </w:r>
          </w:p>
        </w:tc>
      </w:tr>
      <w:tr>
        <w:tc>
          <w:tcPr>
            <w:tcW w:type="dxa" w:w="5112"/>
            <w:shd w:fill="D9EAF7"/>
          </w:tcPr>
          <w:p>
            <w:r>
              <w:t>Project Name</w:t>
            </w:r>
          </w:p>
        </w:tc>
        <w:tc>
          <w:tcPr>
            <w:tcW w:type="dxa" w:w="5112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5112"/>
          </w:tcPr>
          <w:p>
            <w:r>
              <w:t>Institution / Dept</w:t>
            </w:r>
          </w:p>
        </w:tc>
        <w:tc>
          <w:tcPr>
            <w:tcW w:type="dxa" w:w="5112"/>
          </w:tcPr>
          <w:p>
            <w:r>
              <w:t>Jaya Engineering College (JEC) / CSE (Anna University Reg. 2021)</w:t>
            </w:r>
          </w:p>
        </w:tc>
      </w:tr>
    </w:tbl>
    <w:p/>
    <w:p>
      <w:pPr>
        <w:pStyle w:val="Heading1"/>
      </w:pPr>
      <w:r>
        <w:t>Functional Requirements</w:t>
      </w:r>
    </w:p>
    <w:p>
      <w:r>
        <w:t>The following requirements are derived from the supplied project document. They describe the documented scope and avoid adding unsupported capabilities.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FR No.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Sub Requirement (Story / Sub-Task)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FR-1</w:t>
            </w:r>
          </w:p>
        </w:tc>
        <w:tc>
          <w:tcPr>
            <w:tcW w:type="dxa" w:w="3408"/>
            <w:vAlign w:val="center"/>
          </w:tcPr>
          <w:p>
            <w:r>
              <w:t>Ticket record creation</w:t>
            </w:r>
          </w:p>
        </w:tc>
        <w:tc>
          <w:tcPr>
            <w:tcW w:type="dxa" w:w="3408"/>
            <w:vAlign w:val="center"/>
          </w:tcPr>
          <w:p>
            <w:r>
              <w:t>The requester can create a ticket record with Caller, Short Description, and Description fields. The table generates a unique auto-number.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FR-2</w:t>
            </w:r>
          </w:p>
        </w:tc>
        <w:tc>
          <w:tcPr>
            <w:tcW w:type="dxa" w:w="3408"/>
            <w:vAlign w:val="center"/>
          </w:tcPr>
          <w:p>
            <w:r>
              <w:t>Automatic keyword-based classification</w:t>
            </w:r>
          </w:p>
        </w:tc>
        <w:tc>
          <w:tcPr>
            <w:tcW w:type="dxa" w:w="3408"/>
            <w:vAlign w:val="center"/>
          </w:tcPr>
          <w:p>
            <w:r>
              <w:t>When a record is created and Category is empty, Flow Designer evaluates the Short Description and assigns Category and Subcategory according to configured keyword conditions.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FR-3</w:t>
            </w:r>
          </w:p>
        </w:tc>
        <w:tc>
          <w:tcPr>
            <w:tcW w:type="dxa" w:w="3408"/>
            <w:vAlign w:val="center"/>
          </w:tcPr>
          <w:p>
            <w:r>
              <w:t>Dependent category choices</w:t>
            </w:r>
          </w:p>
        </w:tc>
        <w:tc>
          <w:tcPr>
            <w:tcW w:type="dxa" w:w="3408"/>
            <w:vAlign w:val="center"/>
          </w:tcPr>
          <w:p>
            <w:r>
              <w:t>Subcategory is configured as dependent on Category, with Wi-Fi under Network, Projector under Hardware, Forgot Password under Access, and Slow Computer under Performance.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FR-4</w:t>
            </w:r>
          </w:p>
        </w:tc>
        <w:tc>
          <w:tcPr>
            <w:tcW w:type="dxa" w:w="3408"/>
            <w:vAlign w:val="center"/>
          </w:tcPr>
          <w:p>
            <w:r>
              <w:t>Email confirmation</w:t>
            </w:r>
          </w:p>
        </w:tc>
        <w:tc>
          <w:tcPr>
            <w:tcW w:type="dxa" w:w="3408"/>
            <w:vAlign w:val="center"/>
          </w:tcPr>
          <w:p>
            <w:r>
              <w:t>After ticket creation/classification, the flow sends a confirmation email to the caller's email address using the configured Send Email action.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FR-5</w:t>
            </w:r>
          </w:p>
        </w:tc>
        <w:tc>
          <w:tcPr>
            <w:tcW w:type="dxa" w:w="3408"/>
            <w:vAlign w:val="center"/>
          </w:tcPr>
          <w:p>
            <w:r>
              <w:t>Structured ticket storage</w:t>
            </w:r>
          </w:p>
        </w:tc>
        <w:tc>
          <w:tcPr>
            <w:tcW w:type="dxa" w:w="3408"/>
            <w:vAlign w:val="center"/>
          </w:tcPr>
          <w:p>
            <w:r>
              <w:t>Ticket details are stored in the configured Incident Workflow custom table, including caller, category, subcategory, description, state, assigned group, and assigned-to fields.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FR-6</w:t>
            </w:r>
          </w:p>
        </w:tc>
        <w:tc>
          <w:tcPr>
            <w:tcW w:type="dxa" w:w="3408"/>
            <w:vAlign w:val="center"/>
          </w:tcPr>
          <w:p>
            <w:r>
              <w:t>Configuration portability</w:t>
            </w:r>
          </w:p>
        </w:tc>
        <w:tc>
          <w:tcPr>
            <w:tcW w:type="dxa" w:w="3408"/>
            <w:vAlign w:val="center"/>
          </w:tcPr>
          <w:p>
            <w:r>
              <w:t>The documented project configuration is captured in a ServiceNow Local Update Set that can be completed and exported to XML.</w:t>
            </w:r>
          </w:p>
        </w:tc>
      </w:tr>
    </w:tbl>
    <w:p/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NFR No.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Non-Functional Requirement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Technology / Implementation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NFR-1</w:t>
            </w:r>
          </w:p>
        </w:tc>
        <w:tc>
          <w:tcPr>
            <w:tcW w:type="dxa" w:w="2556"/>
            <w:vAlign w:val="center"/>
          </w:tcPr>
          <w:p>
            <w:r>
              <w:t>Usability</w:t>
            </w:r>
          </w:p>
        </w:tc>
        <w:tc>
          <w:tcPr>
            <w:tcW w:type="dxa" w:w="2556"/>
            <w:vAlign w:val="center"/>
          </w:tcPr>
          <w:p>
            <w:r>
              <w:t>The requester needs to provide basic ticket details; classification is automated to reduce manual selection. The interface design details beyond the documented form are not specified.</w:t>
            </w:r>
          </w:p>
        </w:tc>
        <w:tc>
          <w:tcPr>
            <w:tcW w:type="dxa" w:w="2556"/>
            <w:vAlign w:val="center"/>
          </w:tcPr>
          <w:p>
            <w:r>
              <w:t>ServiceNow form and Flow Designer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NFR-2</w:t>
            </w:r>
          </w:p>
        </w:tc>
        <w:tc>
          <w:tcPr>
            <w:tcW w:type="dxa" w:w="2556"/>
            <w:vAlign w:val="center"/>
          </w:tcPr>
          <w:p>
            <w:r>
              <w:t>Security</w:t>
            </w:r>
          </w:p>
        </w:tc>
        <w:tc>
          <w:tcPr>
            <w:tcW w:type="dxa" w:w="2556"/>
            <w:vAlign w:val="center"/>
          </w:tcPr>
          <w:p>
            <w:r>
              <w:t>Access should be limited to authorized users according to the instance's access-control configuration. The supplied project document mentions security validation but does not list specific ACL rules or authentication settings; these must be confirmed.</w:t>
            </w:r>
          </w:p>
        </w:tc>
        <w:tc>
          <w:tcPr>
            <w:tcW w:type="dxa" w:w="2556"/>
            <w:vAlign w:val="center"/>
          </w:tcPr>
          <w:p>
            <w:r>
              <w:t>ServiceNow roles / ACL configuration — confirm implementation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NFR-3</w:t>
            </w:r>
          </w:p>
        </w:tc>
        <w:tc>
          <w:tcPr>
            <w:tcW w:type="dxa" w:w="2556"/>
            <w:vAlign w:val="center"/>
          </w:tcPr>
          <w:p>
            <w:r>
              <w:t>Reliability</w:t>
            </w:r>
          </w:p>
        </w:tc>
        <w:tc>
          <w:tcPr>
            <w:tcW w:type="dxa" w:w="2556"/>
            <w:vAlign w:val="center"/>
          </w:tcPr>
          <w:p>
            <w:r>
              <w:t>The flow should apply the configured keyword-to-category mapping consistently. The supplied document describes test cases for Wi-Fi and Projector; broader reliability results are not provided.</w:t>
            </w:r>
          </w:p>
        </w:tc>
        <w:tc>
          <w:tcPr>
            <w:tcW w:type="dxa" w:w="2556"/>
            <w:vAlign w:val="center"/>
          </w:tcPr>
          <w:p>
            <w:r>
              <w:t>Flow Designer conditions and record updates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NFR-4</w:t>
            </w:r>
          </w:p>
        </w:tc>
        <w:tc>
          <w:tcPr>
            <w:tcW w:type="dxa" w:w="2556"/>
            <w:vAlign w:val="center"/>
          </w:tcPr>
          <w:p>
            <w:r>
              <w:t>Performance</w:t>
            </w:r>
          </w:p>
        </w:tc>
        <w:tc>
          <w:tcPr>
            <w:tcW w:type="dxa" w:w="2556"/>
            <w:vAlign w:val="center"/>
          </w:tcPr>
          <w:p>
            <w:r>
              <w:t>Classification is triggered on record creation and uses predefined keyword conditions. No measured response times, throughput, or performance benchmark is supplied.</w:t>
            </w:r>
          </w:p>
        </w:tc>
        <w:tc>
          <w:tcPr>
            <w:tcW w:type="dxa" w:w="2556"/>
            <w:vAlign w:val="center"/>
          </w:tcPr>
          <w:p>
            <w:r>
              <w:t>ServiceNow Flow Designer; performance measurements not documented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NFR-5</w:t>
            </w:r>
          </w:p>
        </w:tc>
        <w:tc>
          <w:tcPr>
            <w:tcW w:type="dxa" w:w="2556"/>
            <w:vAlign w:val="center"/>
          </w:tcPr>
          <w:p>
            <w:r>
              <w:t>Availability</w:t>
            </w:r>
          </w:p>
        </w:tc>
        <w:tc>
          <w:tcPr>
            <w:tcW w:type="dxa" w:w="2556"/>
            <w:vAlign w:val="center"/>
          </w:tcPr>
          <w:p>
            <w:r>
              <w:t>Availability depends on the ServiceNow instance and its service availability. No uptime target or deployment topology is specified in the supplied material.</w:t>
            </w:r>
          </w:p>
        </w:tc>
        <w:tc>
          <w:tcPr>
            <w:tcW w:type="dxa" w:w="2556"/>
            <w:vAlign w:val="center"/>
          </w:tcPr>
          <w:p>
            <w:r>
              <w:t>ServiceNow platform; SLA/availability target to be confirmed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NFR-6</w:t>
            </w:r>
          </w:p>
        </w:tc>
        <w:tc>
          <w:tcPr>
            <w:tcW w:type="dxa" w:w="2556"/>
            <w:vAlign w:val="center"/>
          </w:tcPr>
          <w:p>
            <w:r>
              <w:t>Scalability</w:t>
            </w:r>
          </w:p>
        </w:tc>
        <w:tc>
          <w:tcPr>
            <w:tcW w:type="dxa" w:w="2556"/>
            <w:vAlign w:val="center"/>
          </w:tcPr>
          <w:p>
            <w:r>
              <w:t>The no-code flow and structured table are described as maintainable and extensible. No load test or quantified scalability result is provided.</w:t>
            </w:r>
          </w:p>
        </w:tc>
        <w:tc>
          <w:tcPr>
            <w:tcW w:type="dxa" w:w="2556"/>
            <w:vAlign w:val="center"/>
          </w:tcPr>
          <w:p>
            <w:r>
              <w:t>Flow Designer and table configuration</w:t>
            </w:r>
          </w:p>
        </w:tc>
      </w:tr>
    </w:tbl>
    <w:p/>
    <w:p>
      <w:r>
        <w:t>Items to confirm before final submission: exact role/ACL configuration, availability target, performance measurements, and any additional validation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