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Pr>
        <w:t xml:space="preserve">ServiceNow Flow Designer Automation</w:t>
      </w:r>
    </w:p>
    <w:p>
      <w:pPr>
        <w:spacing w:after="100"/>
        <w:jc w:val="center"/>
      </w:pPr>
      <w:r>
        <w:rPr>
          <w:b/>
          <w:bCs/>
          <w:sz w:val="22"/>
          <w:szCs w:val="22"/>
        </w:rPr>
        <w:t xml:space="preserve">Project Documentation Format</w:t>
      </w:r>
    </w:p>
    <w:p>
      <w:pPr>
        <w:spacing w:after="90"/>
      </w:pPr>
      <w:r>
        <w:rPr>
          <w:i/>
          <w:iCs/>
          <w:sz w:val="17"/>
          <w:szCs w:val="17"/>
        </w:rPr>
        <w:t xml:space="preserve">Note: the supplied template was written for a MERN (React / Node.js / Express / MongoDB) stack. Section headings are kept as given; content below is adapted to this project's actual platform, ServiceNow.</w:t>
      </w:r>
    </w:p>
    <w:p>
      <w:pPr>
        <w:pStyle w:val="Heading1"/>
        <w:spacing w:after="100" w:before="220"/>
      </w:pPr>
      <w:r>
        <w:rPr>
          <w:b/>
          <w:bCs/>
          <w:sz w:val="23"/>
          <w:szCs w:val="23"/>
        </w:rPr>
        <w:t xml:space="preserve">1. Introduction</w:t>
      </w:r>
    </w:p>
    <w:p>
      <w:pPr>
        <w:spacing w:after="70"/>
      </w:pPr>
      <w:r>
        <w:rPr>
          <w:b/>
          <w:bCs/>
          <w:sz w:val="19"/>
          <w:szCs w:val="19"/>
        </w:rPr>
        <w:t xml:space="preserve">Project Title: </w:t>
      </w:r>
      <w:r>
        <w:rPr>
          <w:b w:val="false"/>
          <w:bCs w:val="false"/>
          <w:sz w:val="19"/>
          <w:szCs w:val="19"/>
        </w:rPr>
        <w:t xml:space="preserve">Auto Ticket Classification Using Flow Designer</w:t>
      </w:r>
    </w:p>
    <w:p>
      <w:pPr>
        <w:spacing w:after="70"/>
      </w:pPr>
      <w:r>
        <w:t>Team ID: SWTID-2026-8980 | Submission Date: 23 October 2026</w:t>
        <w:br/>
        <w:t>Institution: Jaya Engineering College (JEC) | Anna University (Regulation 2021) | CSE Dept</w:t>
        <w:br/>
        <w:t>Faculty Guide / Supervisor: [Faculty Guide / Supervisor Name - To be confirmed]</w:t>
        <w:br/>
        <w:br/>
        <w:t>Team Members:</w:t>
        <w:br/>
        <w:t>1. Akash Prabhu. P (Reg. No: 110824104004) - Team Lead / Flow Designer Configuration</w:t>
        <w:br/>
        <w:t>2. Gowtham. R (Reg. No: 110824104020) - Table &amp; Field Schema Designer</w:t>
        <w:br/>
        <w:t>3. Karthik. K (Reg. No: 110824104032) - Flow Logic &amp; Trigger Developer</w:t>
        <w:br/>
        <w:t>4. Gokul Raj K (Reg. No: 110824104019) - Notification &amp; Dependent Choice Rules</w:t>
        <w:br/>
        <w:t>5. Douglas Christopher (Reg. No: 110824104017) - Testing &amp; Quality Assurance</w:t>
      </w:r>
    </w:p>
    <w:p>
      <w:pPr>
        <w:pStyle w:val="Heading1"/>
        <w:spacing w:after="100" w:before="220"/>
      </w:pPr>
      <w:r>
        <w:rPr>
          <w:b/>
          <w:bCs/>
          <w:sz w:val="23"/>
          <w:szCs w:val="23"/>
        </w:rPr>
        <w:t xml:space="preserve">2. Project Overview</w:t>
      </w:r>
    </w:p>
    <w:p>
      <w:pPr>
        <w:spacing w:after="50"/>
      </w:pPr>
      <w:r>
        <w:rPr>
          <w:b/>
          <w:bCs/>
          <w:sz w:val="19"/>
          <w:szCs w:val="19"/>
        </w:rPr>
        <w:t xml:space="preserve">Purpose:</w:t>
      </w:r>
    </w:p>
    <w:p>
      <w:pPr>
        <w:spacing w:after="90"/>
      </w:pPr>
      <w:r>
        <w:rPr>
          <w:sz w:val="19"/>
          <w:szCs w:val="19"/>
        </w:rPr>
        <w:t xml:space="preserve">Automatically classify IT support tickets the moment they are created, removing the need for an agent to manually read and categorize each one before it can be routed to the right team.</w:t>
      </w:r>
    </w:p>
    <w:p>
      <w:pPr>
        <w:spacing w:after="50"/>
      </w:pPr>
      <w:r>
        <w:rPr>
          <w:b/>
          <w:bCs/>
          <w:sz w:val="19"/>
          <w:szCs w:val="19"/>
        </w:rPr>
        <w:t xml:space="preserve">Features:</w:t>
      </w:r>
    </w:p>
    <w:p>
      <w:pPr>
        <w:spacing w:after="50"/>
      </w:pPr>
      <w:r>
        <w:rPr>
          <w:sz w:val="19"/>
          <w:szCs w:val="19"/>
        </w:rPr>
        <w:t xml:space="preserve">•  Automatic Flow Designer trigger on creation of a new Incident WorkFlow record.</w:t>
      </w:r>
    </w:p>
    <w:p>
      <w:pPr>
        <w:spacing w:after="50"/>
      </w:pPr>
      <w:r>
        <w:rPr>
          <w:sz w:val="19"/>
          <w:szCs w:val="19"/>
        </w:rPr>
        <w:t xml:space="preserve">•  If / Else-If conditional logic that evaluates the ticket's Short Description.</w:t>
      </w:r>
    </w:p>
    <w:p>
      <w:pPr>
        <w:spacing w:after="50"/>
      </w:pPr>
      <w:r>
        <w:rPr>
          <w:sz w:val="19"/>
          <w:szCs w:val="19"/>
        </w:rPr>
        <w:t xml:space="preserve">•  Automatic Category update via the Update Record action.</w:t>
      </w:r>
    </w:p>
    <w:p>
      <w:pPr>
        <w:spacing w:after="50"/>
      </w:pPr>
      <w:r>
        <w:rPr>
          <w:sz w:val="19"/>
          <w:szCs w:val="19"/>
        </w:rPr>
        <w:t xml:space="preserve">•  Email notification via the Send Email action once the flow finishes.</w:t>
      </w:r>
    </w:p>
    <w:p>
      <w:pPr>
        <w:spacing w:after="50"/>
      </w:pPr>
      <w:r>
        <w:rPr>
          <w:sz w:val="19"/>
          <w:szCs w:val="19"/>
        </w:rPr>
        <w:t xml:space="preserve">•  All configuration captured in a single Update Set for review and migration.</w:t>
      </w:r>
    </w:p>
    <w:p>
      <w:pPr>
        <w:pStyle w:val="Heading1"/>
        <w:spacing w:after="100" w:before="220"/>
      </w:pPr>
      <w:r>
        <w:rPr>
          <w:b/>
          <w:bCs/>
          <w:sz w:val="23"/>
          <w:szCs w:val="23"/>
        </w:rPr>
        <w:t xml:space="preserve">3. Architecture</w:t>
      </w:r>
    </w:p>
    <w:p>
      <w:pPr>
        <w:spacing w:after="50"/>
      </w:pPr>
      <w:r>
        <w:rPr>
          <w:b/>
          <w:bCs/>
          <w:sz w:val="19"/>
          <w:szCs w:val="19"/>
        </w:rPr>
        <w:t xml:space="preserve">Frontend (ServiceNow UI):</w:t>
      </w:r>
    </w:p>
    <w:p>
      <w:pPr>
        <w:spacing w:after="90"/>
      </w:pPr>
      <w:r>
        <w:rPr>
          <w:sz w:val="19"/>
          <w:szCs w:val="19"/>
        </w:rPr>
        <w:t xml:space="preserve">Users submit tickets through the native "Incident WorkFlow - New record" form, capturing Number, Caller, Category, Subcategory, Short Description, Description, State, Assigned Group and Assigned to.</w:t>
      </w:r>
    </w:p>
    <w:p>
      <w:pPr>
        <w:spacing w:after="50"/>
      </w:pPr>
      <w:r>
        <w:rPr>
          <w:b/>
          <w:bCs/>
          <w:sz w:val="19"/>
          <w:szCs w:val="19"/>
        </w:rPr>
        <w:t xml:space="preserve">Backend (Flow Designer):</w:t>
      </w:r>
    </w:p>
    <w:p>
      <w:pPr>
        <w:spacing w:after="90"/>
      </w:pPr>
      <w:r>
        <w:rPr>
          <w:sz w:val="19"/>
          <w:szCs w:val="19"/>
        </w:rPr>
        <w:t xml:space="preserve">A Flow named "Auto Classify School IT Tickets" triggers on record creation, runs a chain of If / Else-If conditions against the Short Description, calls Update Record to set the Category, then calls Send Email to notify the relevant party.</w:t>
      </w:r>
    </w:p>
    <w:p>
      <w:pPr>
        <w:spacing w:after="50"/>
      </w:pPr>
      <w:r>
        <w:rPr>
          <w:b/>
          <w:bCs/>
          <w:sz w:val="19"/>
          <w:szCs w:val="19"/>
        </w:rPr>
        <w:t xml:space="preserve">Database (ServiceNow table):</w:t>
      </w:r>
    </w:p>
    <w:p>
      <w:pPr>
        <w:spacing w:after="90"/>
      </w:pPr>
      <w:r>
        <w:rPr>
          <w:sz w:val="19"/>
          <w:szCs w:val="19"/>
        </w:rPr>
        <w:t xml:space="preserve">A custom table, Incident WorkFlow (u_incident_workflow), stores all ticket data. See field list under Section 7.</w:t>
      </w:r>
    </w:p>
    <w:p>
      <w:pPr>
        <w:pStyle w:val="Heading1"/>
        <w:spacing w:after="100" w:before="220"/>
      </w:pPr>
      <w:r>
        <w:rPr>
          <w:b/>
          <w:bCs/>
          <w:sz w:val="23"/>
          <w:szCs w:val="23"/>
        </w:rPr>
        <w:t xml:space="preserve">4. Setup Instructions</w:t>
      </w:r>
    </w:p>
    <w:p>
      <w:pPr>
        <w:spacing w:after="50"/>
      </w:pPr>
      <w:r>
        <w:rPr>
          <w:b/>
          <w:bCs/>
          <w:sz w:val="19"/>
          <w:szCs w:val="19"/>
        </w:rPr>
        <w:t xml:space="preserve">Prerequisites:</w:t>
      </w:r>
    </w:p>
    <w:p>
      <w:pPr>
        <w:spacing w:after="50"/>
      </w:pPr>
      <w:r>
        <w:rPr>
          <w:sz w:val="19"/>
          <w:szCs w:val="19"/>
        </w:rPr>
        <w:t xml:space="preserve">•  Access to a ServiceNow instance with an admin role.</w:t>
      </w:r>
    </w:p>
    <w:p>
      <w:pPr>
        <w:spacing w:after="50"/>
      </w:pPr>
      <w:r>
        <w:rPr>
          <w:sz w:val="19"/>
          <w:szCs w:val="19"/>
        </w:rPr>
        <w:t xml:space="preserve">•  Flow Designer / Process Automation plugin enabled (available by default on most instances).</w:t>
      </w:r>
    </w:p>
    <w:p>
      <w:pPr>
        <w:spacing w:after="50"/>
      </w:pPr>
      <w:r>
        <w:rPr>
          <w:b/>
          <w:bCs/>
          <w:sz w:val="19"/>
          <w:szCs w:val="19"/>
        </w:rPr>
        <w:t xml:space="preserve">Installation:</w:t>
      </w:r>
    </w:p>
    <w:p>
      <w:pPr>
        <w:shd w:fill="F5F5F5" w:val="clear"/>
        <w:spacing w:after="20"/>
      </w:pPr>
      <w:r>
        <w:rPr>
          <w:rFonts w:ascii="Consolas" w:cs="Consolas" w:eastAsia="Consolas" w:hAnsi="Consolas"/>
          <w:sz w:val="18"/>
          <w:szCs w:val="18"/>
        </w:rPr>
        <w:t xml:space="preserve">1. Navigate to System Update Sets &gt; Retrieved Update Sets.</w:t>
      </w:r>
    </w:p>
    <w:p>
      <w:pPr>
        <w:shd w:fill="F5F5F5" w:val="clear"/>
        <w:spacing w:after="20"/>
      </w:pPr>
      <w:r>
        <w:rPr>
          <w:rFonts w:ascii="Consolas" w:cs="Consolas" w:eastAsia="Consolas" w:hAnsi="Consolas"/>
          <w:sz w:val="18"/>
          <w:szCs w:val="18"/>
        </w:rPr>
        <w:t xml:space="preserve">2. Import XML and select the exported Update Set ('Project Update Set').</w:t>
      </w:r>
    </w:p>
    <w:p>
      <w:pPr>
        <w:shd w:fill="F5F5F5" w:val="clear"/>
        <w:spacing w:after="20"/>
      </w:pPr>
      <w:r>
        <w:rPr>
          <w:rFonts w:ascii="Consolas" w:cs="Consolas" w:eastAsia="Consolas" w:hAnsi="Consolas"/>
          <w:sz w:val="18"/>
          <w:szCs w:val="18"/>
        </w:rPr>
        <w:t xml:space="preserve">3. Open the retrieved Update Set, click Preview, resolve any conflicts.</w:t>
      </w:r>
    </w:p>
    <w:p>
      <w:pPr>
        <w:shd w:fill="F5F5F5" w:val="clear"/>
        <w:spacing w:after="110"/>
      </w:pPr>
      <w:r>
        <w:rPr>
          <w:rFonts w:ascii="Consolas" w:cs="Consolas" w:eastAsia="Consolas" w:hAnsi="Consolas"/>
          <w:sz w:val="18"/>
          <w:szCs w:val="18"/>
        </w:rPr>
        <w:t xml:space="preserve">4. Click Commit to apply the table, flow, and related configuration.</w:t>
      </w:r>
    </w:p>
    <w:p>
      <w:pPr>
        <w:pStyle w:val="Heading1"/>
        <w:spacing w:after="100" w:before="220"/>
      </w:pPr>
      <w:r>
        <w:rPr>
          <w:b/>
          <w:bCs/>
          <w:sz w:val="23"/>
          <w:szCs w:val="23"/>
        </w:rPr>
        <w:t xml:space="preserve">5. Folder Structure</w:t>
      </w:r>
    </w:p>
    <w:p>
      <w:pPr>
        <w:spacing w:after="90"/>
      </w:pPr>
      <w:r>
        <w:rPr>
          <w:sz w:val="19"/>
          <w:szCs w:val="19"/>
        </w:rPr>
        <w:t xml:space="preserve">ServiceNow configuration is not organized into client/server folders; instead, the Update Set bundles the following configuration records:</w:t>
      </w:r>
    </w:p>
    <w:p>
      <w:pPr>
        <w:spacing w:after="50"/>
      </w:pPr>
      <w:r>
        <w:rPr>
          <w:sz w:val="19"/>
          <w:szCs w:val="19"/>
        </w:rPr>
        <w:t xml:space="preserve">•  Table definition: Incident WorkFlow (u_incident_workflow) and its 9 fields.</w:t>
      </w:r>
    </w:p>
    <w:p>
      <w:pPr>
        <w:spacing w:after="50"/>
      </w:pPr>
      <w:r>
        <w:rPr>
          <w:sz w:val="19"/>
          <w:szCs w:val="19"/>
        </w:rPr>
        <w:t xml:space="preserve">•  Flow definition: Auto Classify School IT Tickets (trigger + If/Else-If branches + actions).</w:t>
      </w:r>
    </w:p>
    <w:p>
      <w:pPr>
        <w:spacing w:after="50"/>
      </w:pPr>
      <w:r>
        <w:rPr>
          <w:sz w:val="19"/>
          <w:szCs w:val="19"/>
        </w:rPr>
        <w:t xml:space="preserve">•  Any related Business Rules, Client Scripts, or UI Policies, if added in future iterations.</w:t>
      </w:r>
    </w:p>
    <w:p>
      <w:pPr>
        <w:pStyle w:val="Heading1"/>
        <w:spacing w:after="100" w:before="220"/>
      </w:pPr>
      <w:r>
        <w:rPr>
          <w:b/>
          <w:bCs/>
          <w:sz w:val="23"/>
          <w:szCs w:val="23"/>
        </w:rPr>
        <w:t xml:space="preserve">6. Running the Application</w:t>
      </w:r>
    </w:p>
    <w:p>
      <w:pPr>
        <w:shd w:fill="F5F5F5" w:val="clear"/>
        <w:spacing w:after="20"/>
      </w:pPr>
      <w:r>
        <w:rPr>
          <w:rFonts w:ascii="Consolas" w:cs="Consolas" w:eastAsia="Consolas" w:hAnsi="Consolas"/>
          <w:sz w:val="18"/>
          <w:szCs w:val="18"/>
        </w:rPr>
        <w:t xml:space="preserve">1. Open the Incident WorkFlow table and select New.</w:t>
      </w:r>
    </w:p>
    <w:p>
      <w:pPr>
        <w:shd w:fill="F5F5F5" w:val="clear"/>
        <w:spacing w:after="20"/>
      </w:pPr>
      <w:r>
        <w:rPr>
          <w:rFonts w:ascii="Consolas" w:cs="Consolas" w:eastAsia="Consolas" w:hAnsi="Consolas"/>
          <w:sz w:val="18"/>
          <w:szCs w:val="18"/>
        </w:rPr>
        <w:t xml:space="preserve">2. Fill in Short Description (and other fields) and Submit.</w:t>
      </w:r>
    </w:p>
    <w:p>
      <w:pPr>
        <w:shd w:fill="F5F5F5" w:val="clear"/>
        <w:spacing w:after="20"/>
      </w:pPr>
      <w:r>
        <w:rPr>
          <w:rFonts w:ascii="Consolas" w:cs="Consolas" w:eastAsia="Consolas" w:hAnsi="Consolas"/>
          <w:sz w:val="18"/>
          <w:szCs w:val="18"/>
        </w:rPr>
        <w:t xml:space="preserve">3. The Flow runs automatically - no manual step required.</w:t>
      </w:r>
    </w:p>
    <w:p>
      <w:pPr>
        <w:shd w:fill="F5F5F5" w:val="clear"/>
        <w:spacing w:after="110"/>
      </w:pPr>
      <w:r>
        <w:rPr>
          <w:rFonts w:ascii="Consolas" w:cs="Consolas" w:eastAsia="Consolas" w:hAnsi="Consolas"/>
          <w:sz w:val="18"/>
          <w:szCs w:val="18"/>
        </w:rPr>
        <w:t xml:space="preserve">4. Open the record to confirm Category was updated; check inbox for the notification email.</w:t>
      </w:r>
    </w:p>
    <w:p>
      <w:pPr>
        <w:pStyle w:val="Heading1"/>
        <w:spacing w:after="100" w:before="220"/>
      </w:pPr>
      <w:r>
        <w:rPr>
          <w:b/>
          <w:bCs/>
          <w:sz w:val="23"/>
          <w:szCs w:val="23"/>
        </w:rPr>
        <w:t xml:space="preserve">7. API Documentation</w:t>
      </w:r>
    </w:p>
    <w:p>
      <w:pPr>
        <w:spacing w:after="90"/>
      </w:pPr>
      <w:r>
        <w:rPr>
          <w:sz w:val="19"/>
          <w:szCs w:val="19"/>
        </w:rPr>
        <w:t xml:space="preserve">ServiceNow automatically exposes every table through the Table REST API, so no custom API code was written. For this project:</w:t>
      </w:r>
    </w:p>
    <w:p>
      <w:pPr>
        <w:shd w:fill="F5F5F5" w:val="clear"/>
        <w:spacing w:after="20"/>
      </w:pPr>
      <w:r>
        <w:rPr>
          <w:rFonts w:ascii="Consolas" w:cs="Consolas" w:eastAsia="Consolas" w:hAnsi="Consolas"/>
          <w:sz w:val="18"/>
          <w:szCs w:val="18"/>
        </w:rPr>
        <w:t xml:space="preserve">GET    /api/now/table/u_incident_workflow        - list/query tickets</w:t>
      </w:r>
    </w:p>
    <w:p>
      <w:pPr>
        <w:shd w:fill="F5F5F5" w:val="clear"/>
        <w:spacing w:after="20"/>
      </w:pPr>
      <w:r>
        <w:rPr>
          <w:rFonts w:ascii="Consolas" w:cs="Consolas" w:eastAsia="Consolas" w:hAnsi="Consolas"/>
          <w:sz w:val="18"/>
          <w:szCs w:val="18"/>
        </w:rPr>
        <w:t xml:space="preserve">GET    /api/now/table/u_incident_workflow/{id}    - get one ticket</w:t>
      </w:r>
    </w:p>
    <w:p>
      <w:pPr>
        <w:shd w:fill="F5F5F5" w:val="clear"/>
        <w:spacing w:after="20"/>
      </w:pPr>
      <w:r>
        <w:rPr>
          <w:rFonts w:ascii="Consolas" w:cs="Consolas" w:eastAsia="Consolas" w:hAnsi="Consolas"/>
          <w:sz w:val="18"/>
          <w:szCs w:val="18"/>
        </w:rPr>
        <w:t xml:space="preserve">POST   /api/now/table/u_incident_workflow        - create a ticket (also triggers the Flow)</w:t>
      </w:r>
    </w:p>
    <w:p>
      <w:pPr>
        <w:shd w:fill="F5F5F5" w:val="clear"/>
        <w:spacing w:after="110"/>
      </w:pPr>
      <w:r>
        <w:rPr>
          <w:rFonts w:ascii="Consolas" w:cs="Consolas" w:eastAsia="Consolas" w:hAnsi="Consolas"/>
          <w:sz w:val="18"/>
          <w:szCs w:val="18"/>
        </w:rPr>
        <w:t xml:space="preserve">PUT    /api/now/table/u_incident_workflow/{id}    - update a ticket</w:t>
      </w:r>
    </w:p>
    <w:p>
      <w:pPr>
        <w:spacing w:after="90"/>
      </w:pPr>
      <w:r>
        <w:rPr>
          <w:sz w:val="19"/>
          <w:szCs w:val="19"/>
        </w:rPr>
        <w:t xml:space="preserve">Example response fields are the same as the table's columns - see Section 7's field list below.</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880"/>
      </w:tblGrid>
      <w:tr>
        <w:trPr>
          <w:tblHeader/>
        </w:trPr>
        <w:tc>
          <w:tcPr>
            <w:tcW w:type="dxa" w:w="2400"/>
            <w:shd w:fill="D9E2F3" w:val="clear"/>
            <w:tcMar>
              <w:top w:type="dxa" w:w="70"/>
              <w:left w:type="dxa" w:w="90"/>
              <w:bottom w:type="dxa" w:w="70"/>
              <w:right w:type="dxa" w:w="90"/>
            </w:tcMar>
            <w:vAlign w:val="center"/>
          </w:tcPr>
          <w:p>
            <w:r>
              <w:rPr>
                <w:b/>
                <w:bCs/>
                <w:sz w:val="17"/>
                <w:szCs w:val="17"/>
              </w:rPr>
              <w:t xml:space="preserve">Field (column name)</w:t>
            </w:r>
          </w:p>
        </w:tc>
        <w:tc>
          <w:tcPr>
            <w:tcW w:type="dxa" w:w="2200"/>
            <w:shd w:fill="D9E2F3" w:val="clear"/>
            <w:tcMar>
              <w:top w:type="dxa" w:w="70"/>
              <w:left w:type="dxa" w:w="90"/>
              <w:bottom w:type="dxa" w:w="70"/>
              <w:right w:type="dxa" w:w="90"/>
            </w:tcMar>
            <w:vAlign w:val="center"/>
          </w:tcPr>
          <w:p>
            <w:r>
              <w:rPr>
                <w:b/>
                <w:bCs/>
                <w:sz w:val="17"/>
                <w:szCs w:val="17"/>
              </w:rPr>
              <w:t xml:space="preserve">Type</w:t>
            </w:r>
          </w:p>
        </w:tc>
        <w:tc>
          <w:tcPr>
            <w:tcW w:type="dxa" w:w="4880"/>
            <w:shd w:fill="D9E2F3" w:val="clear"/>
            <w:tcMar>
              <w:top w:type="dxa" w:w="70"/>
              <w:left w:type="dxa" w:w="90"/>
              <w:bottom w:type="dxa" w:w="70"/>
              <w:right w:type="dxa" w:w="90"/>
            </w:tcMar>
            <w:vAlign w:val="center"/>
          </w:tcPr>
          <w:p>
            <w:r>
              <w:rPr>
                <w:b/>
                <w:bCs/>
                <w:sz w:val="17"/>
                <w:szCs w:val="17"/>
              </w:rPr>
              <w:t xml:space="preserve">Purpose</w:t>
            </w:r>
          </w:p>
        </w:tc>
      </w:tr>
      <w:tr>
        <w:tc>
          <w:tcPr>
            <w:tcW w:type="dxa" w:w="2400"/>
            <w:tcMar>
              <w:top w:type="dxa" w:w="70"/>
              <w:left w:type="dxa" w:w="90"/>
              <w:bottom w:type="dxa" w:w="70"/>
              <w:right w:type="dxa" w:w="90"/>
            </w:tcMar>
            <w:vAlign w:val="top"/>
          </w:tcPr>
          <w:p>
            <w:r>
              <w:rPr>
                <w:sz w:val="17"/>
                <w:szCs w:val="17"/>
              </w:rPr>
              <w:t xml:space="preserve">number</w:t>
            </w:r>
          </w:p>
        </w:tc>
        <w:tc>
          <w:tcPr>
            <w:tcW w:type="dxa" w:w="2200"/>
            <w:tcMar>
              <w:top w:type="dxa" w:w="70"/>
              <w:left w:type="dxa" w:w="90"/>
              <w:bottom w:type="dxa" w:w="70"/>
              <w:right w:type="dxa" w:w="90"/>
            </w:tcMar>
            <w:vAlign w:val="top"/>
          </w:tcPr>
          <w:p>
            <w:r>
              <w:rPr>
                <w:sz w:val="17"/>
                <w:szCs w:val="17"/>
              </w:rPr>
              <w:t xml:space="preserve">String</w:t>
            </w:r>
          </w:p>
        </w:tc>
        <w:tc>
          <w:tcPr>
            <w:tcW w:type="dxa" w:w="4880"/>
            <w:tcMar>
              <w:top w:type="dxa" w:w="70"/>
              <w:left w:type="dxa" w:w="90"/>
              <w:bottom w:type="dxa" w:w="70"/>
              <w:right w:type="dxa" w:w="90"/>
            </w:tcMar>
            <w:vAlign w:val="top"/>
          </w:tcPr>
          <w:p>
            <w:r>
              <w:rPr>
                <w:sz w:val="17"/>
                <w:szCs w:val="17"/>
              </w:rPr>
              <w:t xml:space="preserve">Ticket number, auto-generated (e.g., INC0001017)</w:t>
            </w:r>
          </w:p>
        </w:tc>
      </w:tr>
      <w:tr>
        <w:tc>
          <w:tcPr>
            <w:tcW w:type="dxa" w:w="2400"/>
            <w:tcMar>
              <w:top w:type="dxa" w:w="70"/>
              <w:left w:type="dxa" w:w="90"/>
              <w:bottom w:type="dxa" w:w="70"/>
              <w:right w:type="dxa" w:w="90"/>
            </w:tcMar>
            <w:vAlign w:val="top"/>
          </w:tcPr>
          <w:p>
            <w:r>
              <w:rPr>
                <w:sz w:val="17"/>
                <w:szCs w:val="17"/>
              </w:rPr>
              <w:t xml:space="preserve">caller</w:t>
            </w:r>
          </w:p>
        </w:tc>
        <w:tc>
          <w:tcPr>
            <w:tcW w:type="dxa" w:w="2200"/>
            <w:tcMar>
              <w:top w:type="dxa" w:w="70"/>
              <w:left w:type="dxa" w:w="90"/>
              <w:bottom w:type="dxa" w:w="70"/>
              <w:right w:type="dxa" w:w="90"/>
            </w:tcMar>
            <w:vAlign w:val="top"/>
          </w:tcPr>
          <w:p>
            <w:r>
              <w:rPr>
                <w:sz w:val="17"/>
                <w:szCs w:val="17"/>
              </w:rPr>
              <w:t xml:space="preserve">Reference (User)</w:t>
            </w:r>
          </w:p>
        </w:tc>
        <w:tc>
          <w:tcPr>
            <w:tcW w:type="dxa" w:w="4880"/>
            <w:tcMar>
              <w:top w:type="dxa" w:w="70"/>
              <w:left w:type="dxa" w:w="90"/>
              <w:bottom w:type="dxa" w:w="70"/>
              <w:right w:type="dxa" w:w="90"/>
            </w:tcMar>
            <w:vAlign w:val="top"/>
          </w:tcPr>
          <w:p>
            <w:r>
              <w:rPr>
                <w:sz w:val="17"/>
                <w:szCs w:val="17"/>
              </w:rPr>
              <w:t xml:space="preserve">Person who raised the ticket</w:t>
            </w:r>
          </w:p>
        </w:tc>
      </w:tr>
      <w:tr>
        <w:tc>
          <w:tcPr>
            <w:tcW w:type="dxa" w:w="2400"/>
            <w:tcMar>
              <w:top w:type="dxa" w:w="70"/>
              <w:left w:type="dxa" w:w="90"/>
              <w:bottom w:type="dxa" w:w="70"/>
              <w:right w:type="dxa" w:w="90"/>
            </w:tcMar>
            <w:vAlign w:val="top"/>
          </w:tcPr>
          <w:p>
            <w:r>
              <w:rPr>
                <w:sz w:val="17"/>
                <w:szCs w:val="17"/>
              </w:rPr>
              <w:t xml:space="preserve">category</w:t>
            </w:r>
          </w:p>
        </w:tc>
        <w:tc>
          <w:tcPr>
            <w:tcW w:type="dxa" w:w="2200"/>
            <w:tcMar>
              <w:top w:type="dxa" w:w="70"/>
              <w:left w:type="dxa" w:w="90"/>
              <w:bottom w:type="dxa" w:w="70"/>
              <w:right w:type="dxa" w:w="90"/>
            </w:tcMar>
            <w:vAlign w:val="top"/>
          </w:tcPr>
          <w:p>
            <w:r>
              <w:rPr>
                <w:sz w:val="17"/>
                <w:szCs w:val="17"/>
              </w:rPr>
              <w:t xml:space="preserve">String</w:t>
            </w:r>
          </w:p>
        </w:tc>
        <w:tc>
          <w:tcPr>
            <w:tcW w:type="dxa" w:w="4880"/>
            <w:tcMar>
              <w:top w:type="dxa" w:w="70"/>
              <w:left w:type="dxa" w:w="90"/>
              <w:bottom w:type="dxa" w:w="70"/>
              <w:right w:type="dxa" w:w="90"/>
            </w:tcMar>
            <w:vAlign w:val="top"/>
          </w:tcPr>
          <w:p>
            <w:r>
              <w:rPr>
                <w:sz w:val="17"/>
                <w:szCs w:val="17"/>
              </w:rPr>
              <w:t xml:space="preserve">Set automatically by the flow (Network / Hardware / Access-Password / Performance)</w:t>
            </w:r>
          </w:p>
        </w:tc>
      </w:tr>
      <w:tr>
        <w:tc>
          <w:tcPr>
            <w:tcW w:type="dxa" w:w="2400"/>
            <w:tcMar>
              <w:top w:type="dxa" w:w="70"/>
              <w:left w:type="dxa" w:w="90"/>
              <w:bottom w:type="dxa" w:w="70"/>
              <w:right w:type="dxa" w:w="90"/>
            </w:tcMar>
            <w:vAlign w:val="top"/>
          </w:tcPr>
          <w:p>
            <w:r>
              <w:rPr>
                <w:sz w:val="17"/>
                <w:szCs w:val="17"/>
              </w:rPr>
              <w:t xml:space="preserve">subcategory</w:t>
            </w:r>
          </w:p>
        </w:tc>
        <w:tc>
          <w:tcPr>
            <w:tcW w:type="dxa" w:w="2200"/>
            <w:tcMar>
              <w:top w:type="dxa" w:w="70"/>
              <w:left w:type="dxa" w:w="90"/>
              <w:bottom w:type="dxa" w:w="70"/>
              <w:right w:type="dxa" w:w="90"/>
            </w:tcMar>
            <w:vAlign w:val="top"/>
          </w:tcPr>
          <w:p>
            <w:r>
              <w:rPr>
                <w:sz w:val="17"/>
                <w:szCs w:val="17"/>
              </w:rPr>
              <w:t xml:space="preserve">String</w:t>
            </w:r>
          </w:p>
        </w:tc>
        <w:tc>
          <w:tcPr>
            <w:tcW w:type="dxa" w:w="4880"/>
            <w:tcMar>
              <w:top w:type="dxa" w:w="70"/>
              <w:left w:type="dxa" w:w="90"/>
              <w:bottom w:type="dxa" w:w="70"/>
              <w:right w:type="dxa" w:w="90"/>
            </w:tcMar>
            <w:vAlign w:val="top"/>
          </w:tcPr>
          <w:p>
            <w:r>
              <w:rPr>
                <w:sz w:val="17"/>
                <w:szCs w:val="17"/>
              </w:rPr>
              <w:t xml:space="preserve">Optional finer classification</w:t>
            </w:r>
          </w:p>
        </w:tc>
      </w:tr>
      <w:tr>
        <w:tc>
          <w:tcPr>
            <w:tcW w:type="dxa" w:w="2400"/>
            <w:tcMar>
              <w:top w:type="dxa" w:w="70"/>
              <w:left w:type="dxa" w:w="90"/>
              <w:bottom w:type="dxa" w:w="70"/>
              <w:right w:type="dxa" w:w="90"/>
            </w:tcMar>
            <w:vAlign w:val="top"/>
          </w:tcPr>
          <w:p>
            <w:r>
              <w:rPr>
                <w:sz w:val="17"/>
                <w:szCs w:val="17"/>
              </w:rPr>
              <w:t xml:space="preserve">short_description</w:t>
            </w:r>
          </w:p>
        </w:tc>
        <w:tc>
          <w:tcPr>
            <w:tcW w:type="dxa" w:w="2200"/>
            <w:tcMar>
              <w:top w:type="dxa" w:w="70"/>
              <w:left w:type="dxa" w:w="90"/>
              <w:bottom w:type="dxa" w:w="70"/>
              <w:right w:type="dxa" w:w="90"/>
            </w:tcMar>
            <w:vAlign w:val="top"/>
          </w:tcPr>
          <w:p>
            <w:r>
              <w:rPr>
                <w:sz w:val="17"/>
                <w:szCs w:val="17"/>
              </w:rPr>
              <w:t xml:space="preserve">String</w:t>
            </w:r>
          </w:p>
        </w:tc>
        <w:tc>
          <w:tcPr>
            <w:tcW w:type="dxa" w:w="4880"/>
            <w:tcMar>
              <w:top w:type="dxa" w:w="70"/>
              <w:left w:type="dxa" w:w="90"/>
              <w:bottom w:type="dxa" w:w="70"/>
              <w:right w:type="dxa" w:w="90"/>
            </w:tcMar>
            <w:vAlign w:val="top"/>
          </w:tcPr>
          <w:p>
            <w:r>
              <w:rPr>
                <w:sz w:val="17"/>
                <w:szCs w:val="17"/>
              </w:rPr>
              <w:t xml:space="preserve">One-line summary evaluated by the flow's If/Else conditions</w:t>
            </w:r>
          </w:p>
        </w:tc>
      </w:tr>
      <w:tr>
        <w:tc>
          <w:tcPr>
            <w:tcW w:type="dxa" w:w="2400"/>
            <w:tcMar>
              <w:top w:type="dxa" w:w="70"/>
              <w:left w:type="dxa" w:w="90"/>
              <w:bottom w:type="dxa" w:w="70"/>
              <w:right w:type="dxa" w:w="90"/>
            </w:tcMar>
            <w:vAlign w:val="top"/>
          </w:tcPr>
          <w:p>
            <w:r>
              <w:rPr>
                <w:sz w:val="17"/>
                <w:szCs w:val="17"/>
              </w:rPr>
              <w:t xml:space="preserve">description</w:t>
            </w:r>
          </w:p>
        </w:tc>
        <w:tc>
          <w:tcPr>
            <w:tcW w:type="dxa" w:w="2200"/>
            <w:tcMar>
              <w:top w:type="dxa" w:w="70"/>
              <w:left w:type="dxa" w:w="90"/>
              <w:bottom w:type="dxa" w:w="70"/>
              <w:right w:type="dxa" w:w="90"/>
            </w:tcMar>
            <w:vAlign w:val="top"/>
          </w:tcPr>
          <w:p>
            <w:r>
              <w:rPr>
                <w:sz w:val="17"/>
                <w:szCs w:val="17"/>
              </w:rPr>
              <w:t xml:space="preserve">String</w:t>
            </w:r>
          </w:p>
        </w:tc>
        <w:tc>
          <w:tcPr>
            <w:tcW w:type="dxa" w:w="4880"/>
            <w:tcMar>
              <w:top w:type="dxa" w:w="70"/>
              <w:left w:type="dxa" w:w="90"/>
              <w:bottom w:type="dxa" w:w="70"/>
              <w:right w:type="dxa" w:w="90"/>
            </w:tcMar>
            <w:vAlign w:val="top"/>
          </w:tcPr>
          <w:p>
            <w:r>
              <w:rPr>
                <w:sz w:val="17"/>
                <w:szCs w:val="17"/>
              </w:rPr>
              <w:t xml:space="preserve">Full issue description</w:t>
            </w:r>
          </w:p>
        </w:tc>
      </w:tr>
      <w:tr>
        <w:tc>
          <w:tcPr>
            <w:tcW w:type="dxa" w:w="2400"/>
            <w:tcMar>
              <w:top w:type="dxa" w:w="70"/>
              <w:left w:type="dxa" w:w="90"/>
              <w:bottom w:type="dxa" w:w="70"/>
              <w:right w:type="dxa" w:w="90"/>
            </w:tcMar>
            <w:vAlign w:val="top"/>
          </w:tcPr>
          <w:p>
            <w:r>
              <w:rPr>
                <w:sz w:val="17"/>
                <w:szCs w:val="17"/>
              </w:rPr>
              <w:t xml:space="preserve">state</w:t>
            </w:r>
          </w:p>
        </w:tc>
        <w:tc>
          <w:tcPr>
            <w:tcW w:type="dxa" w:w="2200"/>
            <w:tcMar>
              <w:top w:type="dxa" w:w="70"/>
              <w:left w:type="dxa" w:w="90"/>
              <w:bottom w:type="dxa" w:w="70"/>
              <w:right w:type="dxa" w:w="90"/>
            </w:tcMar>
            <w:vAlign w:val="top"/>
          </w:tcPr>
          <w:p>
            <w:r>
              <w:rPr>
                <w:sz w:val="17"/>
                <w:szCs w:val="17"/>
              </w:rPr>
              <w:t xml:space="preserve">String</w:t>
            </w:r>
          </w:p>
        </w:tc>
        <w:tc>
          <w:tcPr>
            <w:tcW w:type="dxa" w:w="4880"/>
            <w:tcMar>
              <w:top w:type="dxa" w:w="70"/>
              <w:left w:type="dxa" w:w="90"/>
              <w:bottom w:type="dxa" w:w="70"/>
              <w:right w:type="dxa" w:w="90"/>
            </w:tcMar>
            <w:vAlign w:val="top"/>
          </w:tcPr>
          <w:p>
            <w:r>
              <w:rPr>
                <w:sz w:val="17"/>
                <w:szCs w:val="17"/>
              </w:rPr>
              <w:t xml:space="preserve">Ticket lifecycle state</w:t>
            </w:r>
          </w:p>
        </w:tc>
      </w:tr>
      <w:tr>
        <w:tc>
          <w:tcPr>
            <w:tcW w:type="dxa" w:w="2400"/>
            <w:tcMar>
              <w:top w:type="dxa" w:w="70"/>
              <w:left w:type="dxa" w:w="90"/>
              <w:bottom w:type="dxa" w:w="70"/>
              <w:right w:type="dxa" w:w="90"/>
            </w:tcMar>
            <w:vAlign w:val="top"/>
          </w:tcPr>
          <w:p>
            <w:r>
              <w:rPr>
                <w:sz w:val="17"/>
                <w:szCs w:val="17"/>
              </w:rPr>
              <w:t xml:space="preserve">assigned_group</w:t>
            </w:r>
          </w:p>
        </w:tc>
        <w:tc>
          <w:tcPr>
            <w:tcW w:type="dxa" w:w="2200"/>
            <w:tcMar>
              <w:top w:type="dxa" w:w="70"/>
              <w:left w:type="dxa" w:w="90"/>
              <w:bottom w:type="dxa" w:w="70"/>
              <w:right w:type="dxa" w:w="90"/>
            </w:tcMar>
            <w:vAlign w:val="top"/>
          </w:tcPr>
          <w:p>
            <w:r>
              <w:rPr>
                <w:sz w:val="17"/>
                <w:szCs w:val="17"/>
              </w:rPr>
              <w:t xml:space="preserve">Reference (Group)</w:t>
            </w:r>
          </w:p>
        </w:tc>
        <w:tc>
          <w:tcPr>
            <w:tcW w:type="dxa" w:w="4880"/>
            <w:tcMar>
              <w:top w:type="dxa" w:w="70"/>
              <w:left w:type="dxa" w:w="90"/>
              <w:bottom w:type="dxa" w:w="70"/>
              <w:right w:type="dxa" w:w="90"/>
            </w:tcMar>
            <w:vAlign w:val="top"/>
          </w:tcPr>
          <w:p>
            <w:r>
              <w:rPr>
                <w:sz w:val="17"/>
                <w:szCs w:val="17"/>
              </w:rPr>
              <w:t xml:space="preserve">Support group the ticket is routed to</w:t>
            </w:r>
          </w:p>
        </w:tc>
      </w:tr>
      <w:tr>
        <w:tc>
          <w:tcPr>
            <w:tcW w:type="dxa" w:w="2400"/>
            <w:tcMar>
              <w:top w:type="dxa" w:w="70"/>
              <w:left w:type="dxa" w:w="90"/>
              <w:bottom w:type="dxa" w:w="70"/>
              <w:right w:type="dxa" w:w="90"/>
            </w:tcMar>
            <w:vAlign w:val="top"/>
          </w:tcPr>
          <w:p>
            <w:r>
              <w:rPr>
                <w:sz w:val="17"/>
                <w:szCs w:val="17"/>
              </w:rPr>
              <w:t xml:space="preserve">assigned_to</w:t>
            </w:r>
          </w:p>
        </w:tc>
        <w:tc>
          <w:tcPr>
            <w:tcW w:type="dxa" w:w="2200"/>
            <w:tcMar>
              <w:top w:type="dxa" w:w="70"/>
              <w:left w:type="dxa" w:w="90"/>
              <w:bottom w:type="dxa" w:w="70"/>
              <w:right w:type="dxa" w:w="90"/>
            </w:tcMar>
            <w:vAlign w:val="top"/>
          </w:tcPr>
          <w:p>
            <w:r>
              <w:rPr>
                <w:sz w:val="17"/>
                <w:szCs w:val="17"/>
              </w:rPr>
              <w:t xml:space="preserve">Reference (User)</w:t>
            </w:r>
          </w:p>
        </w:tc>
        <w:tc>
          <w:tcPr>
            <w:tcW w:type="dxa" w:w="4880"/>
            <w:tcMar>
              <w:top w:type="dxa" w:w="70"/>
              <w:left w:type="dxa" w:w="90"/>
              <w:bottom w:type="dxa" w:w="70"/>
              <w:right w:type="dxa" w:w="90"/>
            </w:tcMar>
            <w:vAlign w:val="top"/>
          </w:tcPr>
          <w:p>
            <w:r>
              <w:rPr>
                <w:sz w:val="17"/>
                <w:szCs w:val="17"/>
              </w:rPr>
              <w:t xml:space="preserve">Agent assigned to the ticket</w:t>
            </w:r>
          </w:p>
        </w:tc>
      </w:tr>
    </w:tbl>
    <w:p>
      <w:pPr>
        <w:pStyle w:val="Heading1"/>
        <w:spacing w:after="100" w:before="220"/>
      </w:pPr>
      <w:r>
        <w:rPr>
          <w:b/>
          <w:bCs/>
          <w:sz w:val="23"/>
          <w:szCs w:val="23"/>
        </w:rPr>
        <w:t xml:space="preserve">8. Authentication</w:t>
      </w:r>
    </w:p>
    <w:p>
      <w:pPr>
        <w:spacing w:after="90"/>
      </w:pPr>
      <w:r>
        <w:rPr>
          <w:sz w:val="19"/>
          <w:szCs w:val="19"/>
        </w:rPr>
        <w:t xml:space="preserve">Standard ServiceNow authentication is used: interactive users sign in with their instance credentials, and UI access is governed by ServiceNow's built-in Access Control Lists (ACLs) - administrators can configure the table and flow, while standard users can only create and view tickets. API calls to the Table REST API use the same instance credentials (Basic Auth or OAuth, per the instance's configuration).</w:t>
      </w:r>
    </w:p>
    <w:p>
      <w:pPr>
        <w:pStyle w:val="Heading1"/>
        <w:spacing w:after="100" w:before="220"/>
      </w:pPr>
      <w:r>
        <w:rPr>
          <w:b/>
          <w:bCs/>
          <w:sz w:val="23"/>
          <w:szCs w:val="23"/>
        </w:rPr>
        <w:t xml:space="preserve">9. User Interface</w:t>
      </w:r>
    </w:p>
    <w:p>
      <w:pPr>
        <w:spacing w:after="90"/>
      </w:pPr>
      <w:r>
        <w:t>ServiceNow Implementation &amp; Interface Architecture (Captured from Team Implementation Evidence):</w:t>
      </w:r>
    </w:p>
    <w:p>
      <w:pPr>
        <w:pStyle w:val="Heading1"/>
        <w:spacing w:after="100" w:before="220"/>
      </w:pPr>
      <w:r>
        <w:rPr>
          <w:b/>
          <w:bCs/>
          <w:sz w:val="23"/>
          <w:szCs w:val="23"/>
        </w:rPr>
        <w:t xml:space="preserve">10. Testing</w:t>
      </w:r>
    </w:p>
    <w:p>
      <w:pPr>
        <w:spacing w:after="90"/>
      </w:pPr>
      <w:r>
        <w:rPr>
          <w:sz w:val="19"/>
          <w:szCs w:val="19"/>
        </w:rPr>
        <w:t xml:space="preserve">The flow was tested against 6 scenarios covering all four classification branches, the unmatched (no Else branch) case, and trigger-on-create-only behavior:</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600"/>
        <w:gridCol w:w="6280"/>
        <w:gridCol w:w="1600"/>
      </w:tblGrid>
      <w:tr>
        <w:trPr>
          <w:tblHeader/>
        </w:trPr>
        <w:tc>
          <w:tcPr>
            <w:tcW w:type="dxa" w:w="1600"/>
            <w:shd w:fill="D9E2F3" w:val="clear"/>
            <w:tcMar>
              <w:top w:type="dxa" w:w="70"/>
              <w:left w:type="dxa" w:w="90"/>
              <w:bottom w:type="dxa" w:w="70"/>
              <w:right w:type="dxa" w:w="90"/>
            </w:tcMar>
            <w:vAlign w:val="center"/>
          </w:tcPr>
          <w:p>
            <w:r>
              <w:rPr>
                <w:b/>
                <w:bCs/>
                <w:sz w:val="17"/>
                <w:szCs w:val="17"/>
              </w:rPr>
              <w:t xml:space="preserve">Test Case</w:t>
            </w:r>
          </w:p>
        </w:tc>
        <w:tc>
          <w:tcPr>
            <w:tcW w:type="dxa" w:w="6280"/>
            <w:shd w:fill="D9E2F3" w:val="clear"/>
            <w:tcMar>
              <w:top w:type="dxa" w:w="70"/>
              <w:left w:type="dxa" w:w="90"/>
              <w:bottom w:type="dxa" w:w="70"/>
              <w:right w:type="dxa" w:w="90"/>
            </w:tcMar>
            <w:vAlign w:val="center"/>
          </w:tcPr>
          <w:p>
            <w:r>
              <w:rPr>
                <w:b/>
                <w:bCs/>
                <w:sz w:val="17"/>
                <w:szCs w:val="17"/>
              </w:rPr>
              <w:t xml:space="preserve">Scenario</w:t>
            </w:r>
          </w:p>
        </w:tc>
        <w:tc>
          <w:tcPr>
            <w:tcW w:type="dxa" w:w="1600"/>
            <w:shd w:fill="D9E2F3" w:val="clear"/>
            <w:tcMar>
              <w:top w:type="dxa" w:w="70"/>
              <w:left w:type="dxa" w:w="90"/>
              <w:bottom w:type="dxa" w:w="70"/>
              <w:right w:type="dxa" w:w="90"/>
            </w:tcMar>
            <w:vAlign w:val="center"/>
          </w:tcPr>
          <w:p>
            <w:r>
              <w:rPr>
                <w:b/>
                <w:bCs/>
                <w:sz w:val="17"/>
                <w:szCs w:val="17"/>
              </w:rPr>
              <w:t xml:space="preserve">Result</w:t>
            </w:r>
          </w:p>
        </w:tc>
      </w:tr>
      <w:tr>
        <w:tc>
          <w:tcPr>
            <w:tcW w:type="dxa" w:w="1600"/>
            <w:tcMar>
              <w:top w:type="dxa" w:w="70"/>
              <w:left w:type="dxa" w:w="90"/>
              <w:bottom w:type="dxa" w:w="70"/>
              <w:right w:type="dxa" w:w="90"/>
            </w:tcMar>
            <w:vAlign w:val="top"/>
          </w:tcPr>
          <w:p>
            <w:r>
              <w:rPr>
                <w:b/>
                <w:bCs/>
                <w:sz w:val="17"/>
                <w:szCs w:val="17"/>
              </w:rPr>
              <w:t xml:space="preserve">TC-001</w:t>
            </w:r>
          </w:p>
        </w:tc>
        <w:tc>
          <w:tcPr>
            <w:tcW w:type="dxa" w:w="6280"/>
            <w:tcMar>
              <w:top w:type="dxa" w:w="70"/>
              <w:left w:type="dxa" w:w="90"/>
              <w:bottom w:type="dxa" w:w="70"/>
              <w:right w:type="dxa" w:w="90"/>
            </w:tcMar>
            <w:vAlign w:val="top"/>
          </w:tcPr>
          <w:p>
            <w:r>
              <w:rPr>
                <w:sz w:val="17"/>
                <w:szCs w:val="17"/>
              </w:rPr>
              <w:t xml:space="preserve">Wi-Fi / Network keyword</w:t>
            </w:r>
          </w:p>
        </w:tc>
        <w:tc>
          <w:tcPr>
            <w:tcW w:type="dxa" w:w="1600"/>
            <w:tcMar>
              <w:top w:type="dxa" w:w="70"/>
              <w:left w:type="dxa" w:w="90"/>
              <w:bottom w:type="dxa" w:w="70"/>
              <w:right w:type="dxa" w:w="90"/>
            </w:tcMar>
            <w:vAlign w:val="top"/>
          </w:tcPr>
          <w:p>
            <w:r>
              <w:rPr>
                <w:b/>
                <w:bCs/>
                <w:sz w:val="17"/>
                <w:szCs w:val="17"/>
              </w:rPr>
              <w:t xml:space="preserve">Pass</w:t>
            </w:r>
          </w:p>
        </w:tc>
      </w:tr>
      <w:tr>
        <w:tc>
          <w:tcPr>
            <w:tcW w:type="dxa" w:w="1600"/>
            <w:tcMar>
              <w:top w:type="dxa" w:w="70"/>
              <w:left w:type="dxa" w:w="90"/>
              <w:bottom w:type="dxa" w:w="70"/>
              <w:right w:type="dxa" w:w="90"/>
            </w:tcMar>
            <w:vAlign w:val="top"/>
          </w:tcPr>
          <w:p>
            <w:r>
              <w:rPr>
                <w:b/>
                <w:bCs/>
                <w:sz w:val="17"/>
                <w:szCs w:val="17"/>
              </w:rPr>
              <w:t xml:space="preserve">TC-002</w:t>
            </w:r>
          </w:p>
        </w:tc>
        <w:tc>
          <w:tcPr>
            <w:tcW w:type="dxa" w:w="6280"/>
            <w:tcMar>
              <w:top w:type="dxa" w:w="70"/>
              <w:left w:type="dxa" w:w="90"/>
              <w:bottom w:type="dxa" w:w="70"/>
              <w:right w:type="dxa" w:w="90"/>
            </w:tcMar>
            <w:vAlign w:val="top"/>
          </w:tcPr>
          <w:p>
            <w:r>
              <w:rPr>
                <w:sz w:val="17"/>
                <w:szCs w:val="17"/>
              </w:rPr>
              <w:t xml:space="preserve">Projector / Hardware keyword</w:t>
            </w:r>
          </w:p>
        </w:tc>
        <w:tc>
          <w:tcPr>
            <w:tcW w:type="dxa" w:w="1600"/>
            <w:tcMar>
              <w:top w:type="dxa" w:w="70"/>
              <w:left w:type="dxa" w:w="90"/>
              <w:bottom w:type="dxa" w:w="70"/>
              <w:right w:type="dxa" w:w="90"/>
            </w:tcMar>
            <w:vAlign w:val="top"/>
          </w:tcPr>
          <w:p>
            <w:r>
              <w:rPr>
                <w:b/>
                <w:bCs/>
                <w:sz w:val="17"/>
                <w:szCs w:val="17"/>
              </w:rPr>
              <w:t xml:space="preserve">Pass</w:t>
            </w:r>
          </w:p>
        </w:tc>
      </w:tr>
      <w:tr>
        <w:tc>
          <w:tcPr>
            <w:tcW w:type="dxa" w:w="1600"/>
            <w:tcMar>
              <w:top w:type="dxa" w:w="70"/>
              <w:left w:type="dxa" w:w="90"/>
              <w:bottom w:type="dxa" w:w="70"/>
              <w:right w:type="dxa" w:w="90"/>
            </w:tcMar>
            <w:vAlign w:val="top"/>
          </w:tcPr>
          <w:p>
            <w:r>
              <w:rPr>
                <w:b/>
                <w:bCs/>
                <w:sz w:val="17"/>
                <w:szCs w:val="17"/>
              </w:rPr>
              <w:t xml:space="preserve">TC-003</w:t>
            </w:r>
          </w:p>
        </w:tc>
        <w:tc>
          <w:tcPr>
            <w:tcW w:type="dxa" w:w="6280"/>
            <w:tcMar>
              <w:top w:type="dxa" w:w="70"/>
              <w:left w:type="dxa" w:w="90"/>
              <w:bottom w:type="dxa" w:w="70"/>
              <w:right w:type="dxa" w:w="90"/>
            </w:tcMar>
            <w:vAlign w:val="top"/>
          </w:tcPr>
          <w:p>
            <w:r>
              <w:rPr>
                <w:sz w:val="17"/>
                <w:szCs w:val="17"/>
              </w:rPr>
              <w:t xml:space="preserve">Forgot Password keyword</w:t>
            </w:r>
          </w:p>
        </w:tc>
        <w:tc>
          <w:tcPr>
            <w:tcW w:type="dxa" w:w="1600"/>
            <w:tcMar>
              <w:top w:type="dxa" w:w="70"/>
              <w:left w:type="dxa" w:w="90"/>
              <w:bottom w:type="dxa" w:w="70"/>
              <w:right w:type="dxa" w:w="90"/>
            </w:tcMar>
            <w:vAlign w:val="top"/>
          </w:tcPr>
          <w:p>
            <w:r>
              <w:rPr>
                <w:b/>
                <w:bCs/>
                <w:sz w:val="17"/>
                <w:szCs w:val="17"/>
              </w:rPr>
              <w:t xml:space="preserve">Pass</w:t>
            </w:r>
          </w:p>
        </w:tc>
      </w:tr>
      <w:tr>
        <w:tc>
          <w:tcPr>
            <w:tcW w:type="dxa" w:w="1600"/>
            <w:tcMar>
              <w:top w:type="dxa" w:w="70"/>
              <w:left w:type="dxa" w:w="90"/>
              <w:bottom w:type="dxa" w:w="70"/>
              <w:right w:type="dxa" w:w="90"/>
            </w:tcMar>
            <w:vAlign w:val="top"/>
          </w:tcPr>
          <w:p>
            <w:r>
              <w:rPr>
                <w:b/>
                <w:bCs/>
                <w:sz w:val="17"/>
                <w:szCs w:val="17"/>
              </w:rPr>
              <w:t xml:space="preserve">TC-004</w:t>
            </w:r>
          </w:p>
        </w:tc>
        <w:tc>
          <w:tcPr>
            <w:tcW w:type="dxa" w:w="6280"/>
            <w:tcMar>
              <w:top w:type="dxa" w:w="70"/>
              <w:left w:type="dxa" w:w="90"/>
              <w:bottom w:type="dxa" w:w="70"/>
              <w:right w:type="dxa" w:w="90"/>
            </w:tcMar>
            <w:vAlign w:val="top"/>
          </w:tcPr>
          <w:p>
            <w:r>
              <w:rPr>
                <w:sz w:val="17"/>
                <w:szCs w:val="17"/>
              </w:rPr>
              <w:t xml:space="preserve">Performance keyword</w:t>
            </w:r>
          </w:p>
        </w:tc>
        <w:tc>
          <w:tcPr>
            <w:tcW w:type="dxa" w:w="1600"/>
            <w:tcMar>
              <w:top w:type="dxa" w:w="70"/>
              <w:left w:type="dxa" w:w="90"/>
              <w:bottom w:type="dxa" w:w="70"/>
              <w:right w:type="dxa" w:w="90"/>
            </w:tcMar>
            <w:vAlign w:val="top"/>
          </w:tcPr>
          <w:p>
            <w:r>
              <w:rPr>
                <w:b/>
                <w:bCs/>
                <w:sz w:val="17"/>
                <w:szCs w:val="17"/>
              </w:rPr>
              <w:t xml:space="preserve">Pass</w:t>
            </w:r>
          </w:p>
        </w:tc>
      </w:tr>
      <w:tr>
        <w:tc>
          <w:tcPr>
            <w:tcW w:type="dxa" w:w="1600"/>
            <w:tcMar>
              <w:top w:type="dxa" w:w="70"/>
              <w:left w:type="dxa" w:w="90"/>
              <w:bottom w:type="dxa" w:w="70"/>
              <w:right w:type="dxa" w:w="90"/>
            </w:tcMar>
            <w:vAlign w:val="top"/>
          </w:tcPr>
          <w:p>
            <w:r>
              <w:rPr>
                <w:b/>
                <w:bCs/>
                <w:sz w:val="17"/>
                <w:szCs w:val="17"/>
              </w:rPr>
              <w:t xml:space="preserve">TC-005</w:t>
            </w:r>
          </w:p>
        </w:tc>
        <w:tc>
          <w:tcPr>
            <w:tcW w:type="dxa" w:w="6280"/>
            <w:tcMar>
              <w:top w:type="dxa" w:w="70"/>
              <w:left w:type="dxa" w:w="90"/>
              <w:bottom w:type="dxa" w:w="70"/>
              <w:right w:type="dxa" w:w="90"/>
            </w:tcMar>
            <w:vAlign w:val="top"/>
          </w:tcPr>
          <w:p>
            <w:r>
              <w:rPr>
                <w:sz w:val="17"/>
                <w:szCs w:val="17"/>
              </w:rPr>
              <w:t xml:space="preserve">Unmatched keyword (no Else branch)</w:t>
            </w:r>
          </w:p>
        </w:tc>
        <w:tc>
          <w:tcPr>
            <w:tcW w:type="dxa" w:w="1600"/>
            <w:tcMar>
              <w:top w:type="dxa" w:w="70"/>
              <w:left w:type="dxa" w:w="90"/>
              <w:bottom w:type="dxa" w:w="70"/>
              <w:right w:type="dxa" w:w="90"/>
            </w:tcMar>
            <w:vAlign w:val="top"/>
          </w:tcPr>
          <w:p>
            <w:r>
              <w:rPr>
                <w:b/>
                <w:bCs/>
                <w:sz w:val="17"/>
                <w:szCs w:val="17"/>
              </w:rPr>
              <w:t xml:space="preserve">Fail</w:t>
            </w:r>
          </w:p>
        </w:tc>
      </w:tr>
      <w:tr>
        <w:tc>
          <w:tcPr>
            <w:tcW w:type="dxa" w:w="1600"/>
            <w:tcMar>
              <w:top w:type="dxa" w:w="70"/>
              <w:left w:type="dxa" w:w="90"/>
              <w:bottom w:type="dxa" w:w="70"/>
              <w:right w:type="dxa" w:w="90"/>
            </w:tcMar>
            <w:vAlign w:val="top"/>
          </w:tcPr>
          <w:p>
            <w:r>
              <w:rPr>
                <w:b/>
                <w:bCs/>
                <w:sz w:val="17"/>
                <w:szCs w:val="17"/>
              </w:rPr>
              <w:t xml:space="preserve">TC-006</w:t>
            </w:r>
          </w:p>
        </w:tc>
        <w:tc>
          <w:tcPr>
            <w:tcW w:type="dxa" w:w="6280"/>
            <w:tcMar>
              <w:top w:type="dxa" w:w="70"/>
              <w:left w:type="dxa" w:w="90"/>
              <w:bottom w:type="dxa" w:w="70"/>
              <w:right w:type="dxa" w:w="90"/>
            </w:tcMar>
            <w:vAlign w:val="top"/>
          </w:tcPr>
          <w:p>
            <w:r>
              <w:rPr>
                <w:sz w:val="17"/>
                <w:szCs w:val="17"/>
              </w:rPr>
              <w:t xml:space="preserve">Trigger fires only on create, not update</w:t>
            </w:r>
          </w:p>
        </w:tc>
        <w:tc>
          <w:tcPr>
            <w:tcW w:type="dxa" w:w="1600"/>
            <w:tcMar>
              <w:top w:type="dxa" w:w="70"/>
              <w:left w:type="dxa" w:w="90"/>
              <w:bottom w:type="dxa" w:w="70"/>
              <w:right w:type="dxa" w:w="90"/>
            </w:tcMar>
            <w:vAlign w:val="top"/>
          </w:tcPr>
          <w:p>
            <w:r>
              <w:rPr>
                <w:b/>
                <w:bCs/>
                <w:sz w:val="17"/>
                <w:szCs w:val="17"/>
              </w:rPr>
              <w:t xml:space="preserve">Pass</w:t>
            </w:r>
          </w:p>
        </w:tc>
      </w:tr>
    </w:tbl>
    <w:p>
      <w:pPr>
        <w:spacing w:after="100"/>
      </w:pPr>
    </w:p>
    <w:p>
      <w:pPr>
        <w:spacing w:after="90"/>
      </w:pPr>
      <w:r>
        <w:rPr>
          <w:sz w:val="19"/>
          <w:szCs w:val="19"/>
        </w:rPr>
        <w:t xml:space="preserve">Full test steps, expected/actual results and bug tracking are documented in the Development Phase's User Acceptance Testing FSD and UAT Report Template.</w:t>
      </w:r>
    </w:p>
    <w:p>
      <w:pPr>
        <w:pStyle w:val="Heading1"/>
        <w:spacing w:after="100" w:before="220"/>
      </w:pPr>
      <w:r>
        <w:rPr>
          <w:b/>
          <w:bCs/>
          <w:sz w:val="23"/>
          <w:szCs w:val="23"/>
        </w:rPr>
        <w:t xml:space="preserve">11. Screenshots or Demo</w:t>
      </w:r>
    </w:p>
    <w:p>
      <w:pPr>
        <w:spacing w:after="90"/>
      </w:pPr>
      <w:r>
        <w:t>Project Demo / Supporting Files (Google Drive): https://drive.google.com/drive/folders/1NYfD8kHX6Su9VBgkYKpSaBVTYnT1S_Db?usp=drive_link</w:t>
        <w:br/>
        <w:t>(Note: Link verified reachable over HTTPS; contains demonstration assets and reference implementation archives).</w:t>
      </w:r>
    </w:p>
    <w:p>
      <w:pPr>
        <w:pStyle w:val="Heading1"/>
        <w:spacing w:after="100" w:before="220"/>
      </w:pPr>
      <w:r>
        <w:rPr>
          <w:b/>
          <w:bCs/>
          <w:sz w:val="23"/>
          <w:szCs w:val="23"/>
        </w:rPr>
        <w:t xml:space="preserve">12. Known Issues</w:t>
      </w:r>
    </w:p>
    <w:p>
      <w:pPr>
        <w:spacing w:after="50"/>
      </w:pPr>
      <w:r>
        <w:rPr>
          <w:sz w:val="19"/>
          <w:szCs w:val="19"/>
        </w:rPr>
        <w:t xml:space="preserve">•  BG-001 (Medium, Open): tickets whose Short Description does not match any defined keyword are left with a blank Category, because the flow has no final Else branch. The Send Email action still runs regardless. Tracked in the backlog as USN-9.</w:t>
      </w:r>
    </w:p>
    <w:p>
      <w:pPr>
        <w:pStyle w:val="Heading1"/>
        <w:spacing w:after="100" w:before="220"/>
      </w:pPr>
      <w:r>
        <w:rPr>
          <w:b/>
          <w:bCs/>
          <w:sz w:val="23"/>
          <w:szCs w:val="23"/>
        </w:rPr>
        <w:t xml:space="preserve">13. Future Enhancements</w:t>
      </w:r>
    </w:p>
    <w:p>
      <w:pPr>
        <w:spacing w:after="50"/>
      </w:pPr>
      <w:r>
        <w:rPr>
          <w:sz w:val="19"/>
          <w:szCs w:val="19"/>
        </w:rPr>
        <w:t xml:space="preserve">•  Add a final Else branch to classify unmatched tickets as "General IT Support" (USN-9).</w:t>
      </w:r>
    </w:p>
    <w:p>
      <w:pPr>
        <w:spacing w:after="50"/>
      </w:pPr>
      <w:r>
        <w:rPr>
          <w:sz w:val="19"/>
          <w:szCs w:val="19"/>
        </w:rPr>
        <w:t xml:space="preserve">•  Extend condition set to cover more ticket categories and additional tables (Request, Problem, Change).</w:t>
      </w:r>
    </w:p>
    <w:p>
      <w:pPr>
        <w:spacing w:after="50"/>
      </w:pPr>
      <w:r>
        <w:rPr>
          <w:sz w:val="19"/>
          <w:szCs w:val="19"/>
        </w:rPr>
        <w:t xml:space="preserve">•  Automatic assignment to specific support groups based on category.</w:t>
      </w:r>
    </w:p>
    <w:p>
      <w:pPr>
        <w:spacing w:after="50"/>
      </w:pPr>
      <w:r>
        <w:rPr>
          <w:sz w:val="19"/>
          <w:szCs w:val="19"/>
        </w:rPr>
        <w:t xml:space="preserve">•  Priority calculation and SLA-based automation.</w:t>
      </w:r>
    </w:p>
    <w:p>
      <w:pPr>
        <w:spacing w:after="50"/>
      </w:pPr>
      <w:r>
        <w:rPr>
          <w:sz w:val="19"/>
          <w:szCs w:val="19"/>
        </w:rPr>
        <w:t xml:space="preserve">•  AI/ML-based classification for free-text descriptions that don't match simple keywords.</w:t>
      </w:r>
    </w:p>
    <w:p>
      <w:pPr>
        <w:spacing w:after="50"/>
      </w:pPr>
      <w:r>
        <w:rPr>
          <w:sz w:val="19"/>
          <w:szCs w:val="19"/>
        </w:rPr>
        <w:t xml:space="preserve">•  A dashboard summarizing classification volume and accuracy over time.</w:t>
      </w:r>
    </w:p>
    <w:p>
      <w:pPr>
        <w:jc w:val="center"/>
      </w:pPr>
      <w:r>
        <w:drawing>
          <wp:inline xmlns:a="http://schemas.openxmlformats.org/drawingml/2006/main" xmlns:pic="http://schemas.openxmlformats.org/drawingml/2006/picture">
            <wp:extent cx="5486400" cy="2478830"/>
            <wp:docPr id="1" name="Picture 1"/>
            <wp:cNvGraphicFramePr>
              <a:graphicFrameLocks noChangeAspect="1"/>
            </wp:cNvGraphicFramePr>
            <a:graphic>
              <a:graphicData uri="http://schemas.openxmlformats.org/drawingml/2006/picture">
                <pic:pic>
                  <pic:nvPicPr>
                    <pic:cNvPr id="0" name="image16.png"/>
                    <pic:cNvPicPr/>
                  </pic:nvPicPr>
                  <pic:blipFill>
                    <a:blip r:embed="rId8"/>
                    <a:stretch>
                      <a:fillRect/>
                    </a:stretch>
                  </pic:blipFill>
                  <pic:spPr>
                    <a:xfrm>
                      <a:off x="0" y="0"/>
                      <a:ext cx="5486400" cy="2478830"/>
                    </a:xfrm>
                    <a:prstGeom prst="rect"/>
                  </pic:spPr>
                </pic:pic>
              </a:graphicData>
            </a:graphic>
          </wp:inline>
        </w:drawing>
      </w:r>
    </w:p>
    <w:p>
      <w:pPr>
        <w:jc w:val="center"/>
      </w:pPr>
      <w:r>
        <w:t>Figure: Incident WorkFlow Custom Table and Form Design</w:t>
      </w:r>
    </w:p>
    <w:p>
      <w:pPr>
        <w:jc w:val="center"/>
      </w:pPr>
      <w:r>
        <w:drawing>
          <wp:inline xmlns:a="http://schemas.openxmlformats.org/drawingml/2006/main" xmlns:pic="http://schemas.openxmlformats.org/drawingml/2006/picture">
            <wp:extent cx="5486400" cy="2508641"/>
            <wp:docPr id="2" name="Picture 2"/>
            <wp:cNvGraphicFramePr>
              <a:graphicFrameLocks noChangeAspect="1"/>
            </wp:cNvGraphicFramePr>
            <a:graphic>
              <a:graphicData uri="http://schemas.openxmlformats.org/drawingml/2006/picture">
                <pic:pic>
                  <pic:nvPicPr>
                    <pic:cNvPr id="0" name="image25.png"/>
                    <pic:cNvPicPr/>
                  </pic:nvPicPr>
                  <pic:blipFill>
                    <a:blip r:embed="rId9"/>
                    <a:stretch>
                      <a:fillRect/>
                    </a:stretch>
                  </pic:blipFill>
                  <pic:spPr>
                    <a:xfrm>
                      <a:off x="0" y="0"/>
                      <a:ext cx="5486400" cy="2508641"/>
                    </a:xfrm>
                    <a:prstGeom prst="rect"/>
                  </pic:spPr>
                </pic:pic>
              </a:graphicData>
            </a:graphic>
          </wp:inline>
        </w:drawing>
      </w:r>
    </w:p>
    <w:p>
      <w:pPr>
        <w:jc w:val="center"/>
      </w:pPr>
      <w:r>
        <w:t>Figure: Flow Designer Keyword Conditions &amp; Actions Execution</w:t>
      </w:r>
    </w:p>
    <w:sectPr>
      <w:pgSz w:w="12240" w:h="15840" w:orient="portrait"/>
      <w:pgMar w:top="860" w:right="860" w:bottom="86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2026-10-03T17:51:36.331Z</dcterms:created>
  <dcterms:modified xsi:type="dcterms:W3CDTF">2026-10-03T17:51:36.336Z</dcterms:modified>
</cp:coreProperties>
</file>

<file path=docProps/custom.xml><?xml version="1.0" encoding="utf-8"?>
<Properties xmlns="http://schemas.openxmlformats.org/officeDocument/2006/custom-properties" xmlns:vt="http://schemas.openxmlformats.org/officeDocument/2006/docPropsVTypes"/>
</file>