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rFonts w:ascii="Roboto" w:cs="Roboto" w:eastAsia="Roboto" w:hAnsi="Roboto"/>
          <w:color w:val="16191f"/>
          <w:sz w:val="27"/>
          <w:szCs w:val="27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16191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Fonts w:ascii="Roboto" w:cs="Roboto" w:eastAsia="Roboto" w:hAnsi="Roboto"/>
          <w:color w:val="16191f"/>
          <w:sz w:val="27"/>
          <w:szCs w:val="27"/>
          <w:rtl w:val="0"/>
        </w:rPr>
        <w:t xml:space="preserve">Create a VPC security group for a private DB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7688" cy="293305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33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Proof: 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RDS with a private Subnet to restrict access to the resources outside VPC.</w:t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49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