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packs created in Prepack began shipping with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the customers we can identify are reordering exactly the parts the codes were meant to support,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addresses, and dropped visits with no recorded activity.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February averaged roughly three scans per week. By May, weekly scans were averaging around seventeen, with a high of twenty-seven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anonymous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 reordering specific parts.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The parts that came up more than once are the clearest signal the program is working — codes are sitting on shop floors and getting reused for reorders.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The customers we can identify match the use case the codes were designed for — reordering a specific part they already have on hand.</w:t>
      </w:r>
    </w:p>
    <w:p>
      <w:pPr>
        <w:pStyle w:val="ListBullet"/>
        <w:spacing w:after="40"/>
      </w:pPr>
      <w:r>
        <w:rPr>
          <w:sz w:val="22"/>
        </w:rPr>
        <w:t>Most scans are short, which is normal. The 31% who go deeper show real purchase intent — spec filtering, image expansion, and items added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the parts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