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2F4A7C"/>
          <w:sz w:val="40"/>
        </w:rPr>
        <w:t>Updating Shipping Location View Rules</w:t>
      </w:r>
    </w:p>
    <w:p>
      <w:pPr>
        <w:spacing w:after="280"/>
        <w:pBdr>
          <w:bottom w:val="single" w:sz="8" w:color="2F4A7C"/>
        </w:pBdr>
      </w:pPr>
      <w:r>
        <w:rPr>
          <w:color w:val="555555"/>
          <w:sz w:val="22"/>
        </w:rPr>
        <w:t>Follow-up to the sprint eligibility analysis</w:t>
      </w:r>
    </w:p>
    <w:p>
      <w:pPr>
        <w:spacing w:after="280"/>
      </w:pPr>
      <w:r>
        <w:rPr>
          <w:color w:val="888888"/>
        </w:rPr>
        <w:t>[Intro paragraph]</w:t>
      </w:r>
    </w:p>
    <w:p>
      <w:pPr>
        <w:spacing w:before="40" w:after="80"/>
      </w:pPr>
      <w:r>
        <w:rPr>
          <w:b/>
          <w:color w:val="2F4A7C"/>
          <w:sz w:val="28"/>
        </w:rPr>
        <w:t>1. R1 Threshold Sensitivity</w:t>
      </w:r>
    </w:p>
    <w:p>
      <w:pPr>
        <w:spacing w:after="120"/>
      </w:pPr>
      <w:r>
        <w:rPr>
          <w:sz w:val="22"/>
        </w:rPr>
        <w:t>R1 currently excludes CMFs with 10 or more active ordering contacts. The table shows what each higher threshold adds and where the residual tail sits. Universe is 545,030 CMFs and 16,985,084 orders after removing distributors (Action 1).</w:t>
      </w:r>
    </w:p>
    <w:tbl>
      <w:tblPr>
        <w:tblW w:type="auto" w:w="0"/>
        <w:jc w:val="left"/>
        <w:tblLook w:firstColumn="1" w:firstRow="1" w:lastColumn="0" w:lastRow="0" w:noHBand="0" w:noVBand="1" w:val="04A0"/>
      </w:tblPr>
      <w:tblGrid>
        <w:gridCol w:w="1872"/>
        <w:gridCol w:w="1656"/>
        <w:gridCol w:w="1080"/>
        <w:gridCol w:w="2232"/>
        <w:gridCol w:w="1944"/>
        <w:gridCol w:w="1224"/>
      </w:tblGrid>
      <w:tr>
        <w:trPr>
          <w:trHeight w:val="480" w:hRule="atLeast"/>
        </w:trPr>
        <w:tc>
          <w:tcPr>
            <w:tcW w:type="dxa" w:w="1680"/>
            <w:vAlign w:val="center"/>
            <w:tcBorders>
              <w:top w:val="single" w:sz="6" w:color="B0B7C3"/>
              <w:left w:val="single" w:sz="6" w:color="B0B7C3"/>
              <w:bottom w:val="single" w:sz="6" w:color="B0B7C3"/>
              <w:right w:val="single" w:sz="6" w:color="B0B7C3"/>
            </w:tcBorders>
            <w:shd w:fill="2F4A7C" w:val="clear"/>
          </w:tcPr>
          <w:p>
            <w:pPr>
              <w:jc w:val="left"/>
            </w:pPr>
            <w:r/>
            <w:r>
              <w:rPr>
                <w:b/>
                <w:color w:val="FFFFFF"/>
                <w:sz w:val="20"/>
              </w:rPr>
              <w:t>Threshold</w:t>
            </w:r>
          </w:p>
        </w:tc>
        <w:tc>
          <w:tcPr>
            <w:tcW w:type="dxa" w:w="1680"/>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20"/>
              </w:rPr>
              <w:t>Eligible CMFs</w:t>
            </w:r>
          </w:p>
        </w:tc>
        <w:tc>
          <w:tcPr>
            <w:tcW w:type="dxa" w:w="1680"/>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20"/>
              </w:rPr>
              <w:t>% CMFs</w:t>
            </w:r>
          </w:p>
        </w:tc>
        <w:tc>
          <w:tcPr>
            <w:tcW w:type="dxa" w:w="1680"/>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20"/>
              </w:rPr>
              <w:t>Eligible Orders (cumulative)</w:t>
            </w:r>
          </w:p>
        </w:tc>
        <w:tc>
          <w:tcPr>
            <w:tcW w:type="dxa" w:w="1680"/>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20"/>
              </w:rPr>
              <w:t>Marginal Orders (Δ)</w:t>
            </w:r>
          </w:p>
        </w:tc>
        <w:tc>
          <w:tcPr>
            <w:tcW w:type="dxa" w:w="1680"/>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20"/>
              </w:rPr>
              <w:t>% of Orders</w:t>
            </w:r>
          </w:p>
        </w:tc>
      </w:tr>
      <w:tr>
        <w:tc>
          <w:tcPr>
            <w:tcW w:type="dxa" w:w="1680"/>
            <w:vAlign w:val="center"/>
            <w:tcBorders>
              <w:top w:val="single" w:sz="6" w:color="B0B7C3"/>
              <w:left w:val="single" w:sz="6" w:color="B0B7C3"/>
              <w:bottom w:val="single" w:sz="6" w:color="B0B7C3"/>
              <w:right w:val="single" w:sz="6" w:color="B0B7C3"/>
            </w:tcBorders>
          </w:tcPr>
          <w:p>
            <w:pPr>
              <w:jc w:val="left"/>
            </w:pPr>
            <w:r/>
            <w:r>
              <w:rPr>
                <w:b w:val="0"/>
                <w:color w:val="1A1A1A"/>
                <w:sz w:val="21"/>
              </w:rPr>
              <w:t>10 (current)</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532,692</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97.7%</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12,696,477</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baseline</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74.8%</w:t>
            </w:r>
          </w:p>
        </w:tc>
      </w:tr>
      <w:tr>
        <w:tc>
          <w:tcPr>
            <w:tcW w:type="dxa" w:w="1680"/>
            <w:vAlign w:val="center"/>
            <w:tcBorders>
              <w:top w:val="single" w:sz="6" w:color="B0B7C3"/>
              <w:left w:val="single" w:sz="6" w:color="B0B7C3"/>
              <w:bottom w:val="single" w:sz="6" w:color="B0B7C3"/>
              <w:right w:val="single" w:sz="6" w:color="B0B7C3"/>
            </w:tcBorders>
            <w:shd w:fill="F6F7FA" w:val="clear"/>
          </w:tcPr>
          <w:p>
            <w:pPr>
              <w:jc w:val="left"/>
            </w:pPr>
            <w:r/>
            <w:r>
              <w:rPr>
                <w:b w:val="0"/>
                <w:color w:val="1A1A1A"/>
                <w:sz w:val="21"/>
              </w:rPr>
              <w:t>12</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536,042</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98.4%</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13,207,047</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+510,570</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77.8%</w:t>
            </w:r>
          </w:p>
        </w:tc>
      </w:tr>
      <w:tr>
        <w:tc>
          <w:tcPr>
            <w:tcW w:type="dxa" w:w="1680"/>
            <w:vAlign w:val="center"/>
            <w:tcBorders>
              <w:top w:val="single" w:sz="6" w:color="B0B7C3"/>
              <w:left w:val="single" w:sz="6" w:color="B0B7C3"/>
              <w:bottom w:val="single" w:sz="6" w:color="B0B7C3"/>
              <w:right w:val="single" w:sz="6" w:color="B0B7C3"/>
            </w:tcBorders>
          </w:tcPr>
          <w:p>
            <w:pPr>
              <w:jc w:val="left"/>
            </w:pPr>
            <w:r/>
            <w:r>
              <w:rPr>
                <w:b w:val="0"/>
                <w:color w:val="1A1A1A"/>
                <w:sz w:val="21"/>
              </w:rPr>
              <w:t>15</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538,906</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98.9%</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13,717,234</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+510,187</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80.8%</w:t>
            </w:r>
          </w:p>
        </w:tc>
      </w:tr>
      <w:tr>
        <w:tc>
          <w:tcPr>
            <w:tcW w:type="dxa" w:w="1680"/>
            <w:vAlign w:val="center"/>
            <w:tcBorders>
              <w:top w:val="single" w:sz="6" w:color="B0B7C3"/>
              <w:left w:val="single" w:sz="6" w:color="B0B7C3"/>
              <w:bottom w:val="single" w:sz="6" w:color="B0B7C3"/>
              <w:right w:val="single" w:sz="6" w:color="B0B7C3"/>
            </w:tcBorders>
            <w:shd w:fill="F6F7FA" w:val="clear"/>
          </w:tcPr>
          <w:p>
            <w:pPr>
              <w:jc w:val="left"/>
            </w:pPr>
            <w:r/>
            <w:r>
              <w:rPr>
                <w:b w:val="0"/>
                <w:color w:val="1A1A1A"/>
                <w:sz w:val="21"/>
              </w:rPr>
              <w:t>20</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541,297</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99.3%</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14,226,992</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+509,758</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83.8%</w:t>
            </w:r>
          </w:p>
        </w:tc>
      </w:tr>
      <w:tr>
        <w:tc>
          <w:tcPr>
            <w:tcW w:type="dxa" w:w="1680"/>
            <w:vAlign w:val="center"/>
            <w:tcBorders>
              <w:top w:val="single" w:sz="6" w:color="B0B7C3"/>
              <w:left w:val="single" w:sz="6" w:color="B0B7C3"/>
              <w:bottom w:val="single" w:sz="6" w:color="B0B7C3"/>
              <w:right w:val="single" w:sz="6" w:color="B0B7C3"/>
            </w:tcBorders>
          </w:tcPr>
          <w:p>
            <w:pPr>
              <w:jc w:val="left"/>
            </w:pPr>
            <w:r/>
            <w:r>
              <w:rPr>
                <w:b w:val="0"/>
                <w:color w:val="1A1A1A"/>
                <w:sz w:val="21"/>
              </w:rPr>
              <w:t>25</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542,518</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99.5%</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14,554,315</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+327,323</w:t>
            </w:r>
          </w:p>
        </w:tc>
        <w:tc>
          <w:tcPr>
            <w:tcW w:type="dxa" w:w="1680"/>
            <w:vAlign w:val="center"/>
            <w:tcBorders>
              <w:top w:val="single" w:sz="6" w:color="B0B7C3"/>
              <w:left w:val="single" w:sz="6" w:color="B0B7C3"/>
              <w:bottom w:val="single" w:sz="6" w:color="B0B7C3"/>
              <w:right w:val="single" w:sz="6" w:color="B0B7C3"/>
            </w:tcBorders>
          </w:tcPr>
          <w:p>
            <w:pPr>
              <w:jc w:val="right"/>
            </w:pPr>
            <w:r/>
            <w:r>
              <w:rPr>
                <w:b w:val="0"/>
                <w:color w:val="1A1A1A"/>
                <w:sz w:val="21"/>
              </w:rPr>
              <w:t>85.7%</w:t>
            </w:r>
          </w:p>
        </w:tc>
      </w:tr>
      <w:tr>
        <w:tc>
          <w:tcPr>
            <w:tcW w:type="dxa" w:w="1680"/>
            <w:vAlign w:val="center"/>
            <w:tcBorders>
              <w:top w:val="single" w:sz="6" w:color="B0B7C3"/>
              <w:left w:val="single" w:sz="6" w:color="B0B7C3"/>
              <w:bottom w:val="single" w:sz="6" w:color="B0B7C3"/>
              <w:right w:val="single" w:sz="6" w:color="B0B7C3"/>
            </w:tcBorders>
            <w:shd w:fill="F6F7FA" w:val="clear"/>
          </w:tcPr>
          <w:p>
            <w:pPr>
              <w:jc w:val="left"/>
            </w:pPr>
            <w:r/>
            <w:r>
              <w:rPr>
                <w:b w:val="0"/>
                <w:color w:val="1A1A1A"/>
                <w:sz w:val="21"/>
              </w:rPr>
              <w:t>50</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544,279</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99.9%</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15,232,307</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+678,000</w:t>
            </w:r>
          </w:p>
        </w:tc>
        <w:tc>
          <w:tcPr>
            <w:tcW w:type="dxa" w:w="1680"/>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21"/>
              </w:rPr>
              <w:t>89.7%</w:t>
            </w:r>
          </w:p>
        </w:tc>
      </w:tr>
      <w:tr>
        <w:tc>
          <w:tcPr>
            <w:tcW w:type="dxa" w:w="1680"/>
            <w:vAlign w:val="center"/>
            <w:tcBorders>
              <w:top w:val="single" w:sz="6" w:color="B0B7C3"/>
              <w:left w:val="single" w:sz="6" w:color="B0B7C3"/>
              <w:bottom w:val="single" w:sz="6" w:color="B0B7C3"/>
              <w:right w:val="single" w:sz="6" w:color="B0B7C3"/>
            </w:tcBorders>
            <w:shd w:fill="FDF3D3" w:val="clear"/>
          </w:tcPr>
          <w:p>
            <w:pPr>
              <w:jc w:val="left"/>
            </w:pPr>
            <w:r/>
            <w:r>
              <w:rPr>
                <w:b/>
                <w:color w:val="1A1A1A"/>
                <w:sz w:val="21"/>
              </w:rPr>
              <w:t>50+ (stays out)</w:t>
            </w:r>
          </w:p>
        </w:tc>
        <w:tc>
          <w:tcPr>
            <w:tcW w:type="dxa" w:w="1680"/>
            <w:vAlign w:val="center"/>
            <w:tcBorders>
              <w:top w:val="single" w:sz="6" w:color="B0B7C3"/>
              <w:left w:val="single" w:sz="6" w:color="B0B7C3"/>
              <w:bottom w:val="single" w:sz="6" w:color="B0B7C3"/>
              <w:right w:val="single" w:sz="6" w:color="B0B7C3"/>
            </w:tcBorders>
            <w:shd w:fill="FDF3D3" w:val="clear"/>
          </w:tcPr>
          <w:p>
            <w:pPr>
              <w:jc w:val="right"/>
            </w:pPr>
            <w:r/>
            <w:r>
              <w:rPr>
                <w:b w:val="0"/>
                <w:color w:val="1A1A1A"/>
                <w:sz w:val="21"/>
              </w:rPr>
              <w:t>751</w:t>
            </w:r>
          </w:p>
        </w:tc>
        <w:tc>
          <w:tcPr>
            <w:tcW w:type="dxa" w:w="1680"/>
            <w:vAlign w:val="center"/>
            <w:tcBorders>
              <w:top w:val="single" w:sz="6" w:color="B0B7C3"/>
              <w:left w:val="single" w:sz="6" w:color="B0B7C3"/>
              <w:bottom w:val="single" w:sz="6" w:color="B0B7C3"/>
              <w:right w:val="single" w:sz="6" w:color="B0B7C3"/>
            </w:tcBorders>
            <w:shd w:fill="FDF3D3" w:val="clear"/>
          </w:tcPr>
          <w:p>
            <w:pPr>
              <w:jc w:val="right"/>
            </w:pPr>
            <w:r/>
            <w:r>
              <w:rPr>
                <w:b w:val="0"/>
                <w:color w:val="1A1A1A"/>
                <w:sz w:val="21"/>
              </w:rPr>
              <w:t>0.1%</w:t>
            </w:r>
          </w:p>
        </w:tc>
        <w:tc>
          <w:tcPr>
            <w:tcW w:type="dxa" w:w="1680"/>
            <w:vAlign w:val="center"/>
            <w:tcBorders>
              <w:top w:val="single" w:sz="6" w:color="B0B7C3"/>
              <w:left w:val="single" w:sz="6" w:color="B0B7C3"/>
              <w:bottom w:val="single" w:sz="6" w:color="B0B7C3"/>
              <w:right w:val="single" w:sz="6" w:color="B0B7C3"/>
            </w:tcBorders>
            <w:shd w:fill="FDF3D3" w:val="clear"/>
          </w:tcPr>
          <w:p>
            <w:pPr>
              <w:jc w:val="right"/>
            </w:pPr>
            <w:r/>
            <w:r>
              <w:rPr>
                <w:b w:val="0"/>
                <w:color w:val="1A1A1A"/>
                <w:sz w:val="21"/>
              </w:rPr>
              <w:t>—</w:t>
            </w:r>
          </w:p>
        </w:tc>
        <w:tc>
          <w:tcPr>
            <w:tcW w:type="dxa" w:w="1680"/>
            <w:vAlign w:val="center"/>
            <w:tcBorders>
              <w:top w:val="single" w:sz="6" w:color="B0B7C3"/>
              <w:left w:val="single" w:sz="6" w:color="B0B7C3"/>
              <w:bottom w:val="single" w:sz="6" w:color="B0B7C3"/>
              <w:right w:val="single" w:sz="6" w:color="B0B7C3"/>
            </w:tcBorders>
            <w:shd w:fill="FDF3D3" w:val="clear"/>
          </w:tcPr>
          <w:p>
            <w:pPr>
              <w:jc w:val="right"/>
            </w:pPr>
            <w:r/>
            <w:r>
              <w:rPr>
                <w:b w:val="0"/>
                <w:color w:val="1A1A1A"/>
                <w:sz w:val="21"/>
              </w:rPr>
              <w:t>1,752,777</w:t>
            </w:r>
          </w:p>
        </w:tc>
        <w:tc>
          <w:tcPr>
            <w:tcW w:type="dxa" w:w="1680"/>
            <w:vAlign w:val="center"/>
            <w:tcBorders>
              <w:top w:val="single" w:sz="6" w:color="B0B7C3"/>
              <w:left w:val="single" w:sz="6" w:color="B0B7C3"/>
              <w:bottom w:val="single" w:sz="6" w:color="B0B7C3"/>
              <w:right w:val="single" w:sz="6" w:color="B0B7C3"/>
            </w:tcBorders>
            <w:shd w:fill="FDF3D3" w:val="clear"/>
          </w:tcPr>
          <w:p>
            <w:pPr>
              <w:jc w:val="right"/>
            </w:pPr>
            <w:r/>
            <w:r>
              <w:rPr>
                <w:b w:val="0"/>
                <w:color w:val="1A1A1A"/>
                <w:sz w:val="21"/>
              </w:rPr>
              <w:t>10.3%</w:t>
            </w:r>
          </w:p>
        </w:tc>
      </w:tr>
    </w:tbl>
    <w:p>
      <w:pPr>
        <w:spacing w:before="320" w:after="80"/>
      </w:pPr>
      <w:r>
        <w:rPr>
          <w:b/>
          <w:color w:val="2F4A7C"/>
          <w:sz w:val="28"/>
        </w:rPr>
        <w:t>2. R3 Listcodes by Contact-Count Range</w:t>
      </w:r>
    </w:p>
    <w:p>
      <w:pPr>
        <w:spacing w:after="120"/>
      </w:pPr>
      <w:r>
        <w:rPr>
          <w:sz w:val="22"/>
        </w:rPr>
        <w:t>For each R3-excluded listcode, CMFs and orders split by active-contact range. Distributors removed per Action 1.</w:t>
      </w:r>
    </w:p>
    <w:tbl>
      <w:tblPr>
        <w:tblW w:type="auto" w:w="0"/>
        <w:jc w:val="left"/>
        <w:tblLook w:firstColumn="1" w:firstRow="1" w:lastColumn="0" w:lastRow="0" w:noHBand="0" w:noVBand="1" w:val="04A0"/>
      </w:tblPr>
      <w:tblGrid>
        <w:gridCol w:w="792"/>
        <w:gridCol w:w="2376"/>
        <w:gridCol w:w="936"/>
        <w:gridCol w:w="792"/>
        <w:gridCol w:w="864"/>
        <w:gridCol w:w="792"/>
        <w:gridCol w:w="1080"/>
        <w:gridCol w:w="864"/>
        <w:gridCol w:w="936"/>
        <w:gridCol w:w="864"/>
      </w:tblGrid>
      <w:tr>
        <w:trPr>
          <w:trHeight w:val="640" w:hRule="atLeast"/>
        </w:trPr>
        <w:tc>
          <w:tcPr>
            <w:tcW w:type="dxa" w:w="1008"/>
            <w:vAlign w:val="center"/>
            <w:tcBorders>
              <w:top w:val="single" w:sz="6" w:color="B0B7C3"/>
              <w:left w:val="single" w:sz="6" w:color="B0B7C3"/>
              <w:bottom w:val="single" w:sz="6" w:color="B0B7C3"/>
              <w:right w:val="single" w:sz="6" w:color="B0B7C3"/>
            </w:tcBorders>
            <w:shd w:fill="2F4A7C" w:val="clear"/>
          </w:tcPr>
          <w:p>
            <w:pPr>
              <w:jc w:val="left"/>
            </w:pPr>
            <w:r/>
            <w:r>
              <w:rPr>
                <w:b/>
                <w:color w:val="FFFFFF"/>
                <w:sz w:val="19"/>
              </w:rPr>
              <w:t>Listcode</w:t>
            </w:r>
          </w:p>
        </w:tc>
        <w:tc>
          <w:tcPr>
            <w:tcW w:type="dxa" w:w="1008"/>
            <w:vAlign w:val="center"/>
            <w:tcBorders>
              <w:top w:val="single" w:sz="6" w:color="B0B7C3"/>
              <w:left w:val="single" w:sz="6" w:color="B0B7C3"/>
              <w:bottom w:val="single" w:sz="6" w:color="B0B7C3"/>
              <w:right w:val="single" w:sz="6" w:color="B0B7C3"/>
            </w:tcBorders>
            <w:shd w:fill="2F4A7C" w:val="clear"/>
          </w:tcPr>
          <w:p>
            <w:pPr>
              <w:jc w:val="left"/>
            </w:pPr>
            <w:r/>
            <w:r>
              <w:rPr>
                <w:b/>
                <w:color w:val="FFFFFF"/>
                <w:sz w:val="19"/>
              </w:rPr>
              <w:t>Category</w:t>
            </w:r>
          </w:p>
        </w:tc>
        <w:tc>
          <w:tcPr>
            <w:tcW w:type="dxa" w:w="1008"/>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19"/>
              </w:rPr>
              <w:t>Total</w:t>
              <w:br/>
              <w:t>CMFs</w:t>
            </w:r>
          </w:p>
        </w:tc>
        <w:tc>
          <w:tcPr>
            <w:tcW w:type="dxa" w:w="1008"/>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19"/>
              </w:rPr>
              <w:t>CMFs</w:t>
              <w:br/>
              <w:t>&lt;10</w:t>
            </w:r>
          </w:p>
        </w:tc>
        <w:tc>
          <w:tcPr>
            <w:tcW w:type="dxa" w:w="1008"/>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19"/>
              </w:rPr>
              <w:t>CMFs</w:t>
              <w:br/>
              <w:t>10–25</w:t>
            </w:r>
          </w:p>
        </w:tc>
        <w:tc>
          <w:tcPr>
            <w:tcW w:type="dxa" w:w="1008"/>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19"/>
              </w:rPr>
              <w:t>CMFs</w:t>
              <w:br/>
              <w:t>25+</w:t>
            </w:r>
          </w:p>
        </w:tc>
        <w:tc>
          <w:tcPr>
            <w:tcW w:type="dxa" w:w="1008"/>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19"/>
              </w:rPr>
              <w:t>Total</w:t>
              <w:br/>
              <w:t>Orders</w:t>
            </w:r>
          </w:p>
        </w:tc>
        <w:tc>
          <w:tcPr>
            <w:tcW w:type="dxa" w:w="1008"/>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19"/>
              </w:rPr>
              <w:t>Orders</w:t>
              <w:br/>
              <w:t>&lt;10</w:t>
            </w:r>
          </w:p>
        </w:tc>
        <w:tc>
          <w:tcPr>
            <w:tcW w:type="dxa" w:w="1008"/>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19"/>
              </w:rPr>
              <w:t>Orders</w:t>
              <w:br/>
              <w:t>10–25</w:t>
            </w:r>
          </w:p>
        </w:tc>
        <w:tc>
          <w:tcPr>
            <w:tcW w:type="dxa" w:w="1008"/>
            <w:vAlign w:val="center"/>
            <w:tcBorders>
              <w:top w:val="single" w:sz="6" w:color="B0B7C3"/>
              <w:left w:val="single" w:sz="6" w:color="B0B7C3"/>
              <w:bottom w:val="single" w:sz="6" w:color="B0B7C3"/>
              <w:right w:val="single" w:sz="6" w:color="B0B7C3"/>
            </w:tcBorders>
            <w:shd w:fill="2F4A7C" w:val="clear"/>
          </w:tcPr>
          <w:p>
            <w:pPr>
              <w:jc w:val="right"/>
            </w:pPr>
            <w:r/>
            <w:r>
              <w:rPr>
                <w:b/>
                <w:color w:val="FFFFFF"/>
                <w:sz w:val="19"/>
              </w:rPr>
              <w:t>Orders</w:t>
              <w:br/>
              <w:t>25+</w:t>
            </w:r>
          </w:p>
        </w:tc>
      </w:tr>
      <w:tr>
        <w:tc>
          <w:tcPr>
            <w:tcW w:type="dxa" w:w="1008"/>
            <w:vAlign w:val="center"/>
            <w:tcBorders>
              <w:top w:val="single" w:sz="6" w:color="B0B7C3"/>
              <w:left w:val="single" w:sz="6" w:color="B0B7C3"/>
              <w:bottom w:val="single" w:sz="6" w:color="B0B7C3"/>
              <w:right w:val="single" w:sz="6" w:color="B0B7C3"/>
            </w:tcBorders>
          </w:tcPr>
          <w:p>
            <w:pPr>
              <w:jc w:val="left"/>
            </w:pPr>
            <w:r/>
            <w:r>
              <w:rPr>
                <w:b w:val="0"/>
                <w:color w:val="1A1A1A"/>
                <w:sz w:val="19"/>
              </w:rPr>
              <w:t>05</w:t>
            </w:r>
          </w:p>
        </w:tc>
        <w:tc>
          <w:tcPr>
            <w:tcW w:type="dxa" w:w="1008"/>
            <w:vAlign w:val="center"/>
            <w:tcBorders>
              <w:top w:val="single" w:sz="6" w:color="B0B7C3"/>
              <w:left w:val="single" w:sz="6" w:color="B0B7C3"/>
              <w:bottom w:val="single" w:sz="6" w:color="B0B7C3"/>
              <w:right w:val="single" w:sz="6" w:color="B0B7C3"/>
            </w:tcBorders>
          </w:tcPr>
          <w:p>
            <w:pPr>
              <w:jc w:val="left"/>
            </w:pPr>
            <w:r/>
            <w:r>
              <w:rPr>
                <w:b w:val="0"/>
                <w:color w:val="1A1A1A"/>
                <w:sz w:val="19"/>
              </w:rPr>
              <w:t>Federal Gov (Domestic)</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3,032</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2,924</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87</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21</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58,169</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23,278</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11,401</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23,490</w:t>
            </w:r>
          </w:p>
        </w:tc>
      </w:tr>
      <w:tr>
        <w:tc>
          <w:tcPr>
            <w:tcW w:type="dxa" w:w="1008"/>
            <w:vAlign w:val="center"/>
            <w:tcBorders>
              <w:top w:val="single" w:sz="6" w:color="B0B7C3"/>
              <w:left w:val="single" w:sz="6" w:color="B0B7C3"/>
              <w:bottom w:val="single" w:sz="6" w:color="B0B7C3"/>
              <w:right w:val="single" w:sz="6" w:color="B0B7C3"/>
            </w:tcBorders>
            <w:shd w:fill="F6F7FA" w:val="clear"/>
          </w:tcPr>
          <w:p>
            <w:pPr>
              <w:jc w:val="left"/>
            </w:pPr>
            <w:r/>
            <w:r>
              <w:rPr>
                <w:b w:val="0"/>
                <w:color w:val="1A1A1A"/>
                <w:sz w:val="19"/>
              </w:rPr>
              <w:t>06</w:t>
            </w:r>
          </w:p>
        </w:tc>
        <w:tc>
          <w:tcPr>
            <w:tcW w:type="dxa" w:w="1008"/>
            <w:vAlign w:val="center"/>
            <w:tcBorders>
              <w:top w:val="single" w:sz="6" w:color="B0B7C3"/>
              <w:left w:val="single" w:sz="6" w:color="B0B7C3"/>
              <w:bottom w:val="single" w:sz="6" w:color="B0B7C3"/>
              <w:right w:val="single" w:sz="6" w:color="B0B7C3"/>
            </w:tcBorders>
            <w:shd w:fill="F6F7FA" w:val="clear"/>
          </w:tcPr>
          <w:p>
            <w:pPr>
              <w:jc w:val="left"/>
            </w:pPr>
            <w:r/>
            <w:r>
              <w:rPr>
                <w:b w:val="0"/>
                <w:color w:val="1A1A1A"/>
                <w:sz w:val="19"/>
              </w:rPr>
              <w:t>Federal Gov (APO/FPO)</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186</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185</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1</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0</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786</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705</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81</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0</w:t>
            </w:r>
          </w:p>
        </w:tc>
      </w:tr>
      <w:tr>
        <w:tc>
          <w:tcPr>
            <w:tcW w:type="dxa" w:w="1008"/>
            <w:vAlign w:val="center"/>
            <w:tcBorders>
              <w:top w:val="single" w:sz="6" w:color="B0B7C3"/>
              <w:left w:val="single" w:sz="6" w:color="B0B7C3"/>
              <w:bottom w:val="single" w:sz="6" w:color="B0B7C3"/>
              <w:right w:val="single" w:sz="6" w:color="B0B7C3"/>
            </w:tcBorders>
          </w:tcPr>
          <w:p>
            <w:pPr>
              <w:jc w:val="left"/>
            </w:pPr>
            <w:r/>
            <w:r>
              <w:rPr>
                <w:b w:val="0"/>
                <w:color w:val="1A1A1A"/>
                <w:sz w:val="19"/>
              </w:rPr>
              <w:t>07</w:t>
            </w:r>
          </w:p>
        </w:tc>
        <w:tc>
          <w:tcPr>
            <w:tcW w:type="dxa" w:w="1008"/>
            <w:vAlign w:val="center"/>
            <w:tcBorders>
              <w:top w:val="single" w:sz="6" w:color="B0B7C3"/>
              <w:left w:val="single" w:sz="6" w:color="B0B7C3"/>
              <w:bottom w:val="single" w:sz="6" w:color="B0B7C3"/>
              <w:right w:val="single" w:sz="6" w:color="B0B7C3"/>
            </w:tcBorders>
          </w:tcPr>
          <w:p>
            <w:pPr>
              <w:jc w:val="left"/>
            </w:pPr>
            <w:r/>
            <w:r>
              <w:rPr>
                <w:b w:val="0"/>
                <w:color w:val="1A1A1A"/>
                <w:sz w:val="19"/>
              </w:rPr>
              <w:t>State Gov</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6,798</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6,282</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382</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134</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184,911</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86,816</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43,295</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54,800</w:t>
            </w:r>
          </w:p>
        </w:tc>
      </w:tr>
      <w:tr>
        <w:tc>
          <w:tcPr>
            <w:tcW w:type="dxa" w:w="1008"/>
            <w:vAlign w:val="center"/>
            <w:tcBorders>
              <w:top w:val="single" w:sz="6" w:color="B0B7C3"/>
              <w:left w:val="single" w:sz="6" w:color="B0B7C3"/>
              <w:bottom w:val="single" w:sz="6" w:color="B0B7C3"/>
              <w:right w:val="single" w:sz="6" w:color="B0B7C3"/>
            </w:tcBorders>
            <w:shd w:fill="F6F7FA" w:val="clear"/>
          </w:tcPr>
          <w:p>
            <w:pPr>
              <w:jc w:val="left"/>
            </w:pPr>
            <w:r/>
            <w:r>
              <w:rPr>
                <w:b w:val="0"/>
                <w:color w:val="1A1A1A"/>
                <w:sz w:val="19"/>
              </w:rPr>
              <w:t>08</w:t>
            </w:r>
          </w:p>
        </w:tc>
        <w:tc>
          <w:tcPr>
            <w:tcW w:type="dxa" w:w="1008"/>
            <w:vAlign w:val="center"/>
            <w:tcBorders>
              <w:top w:val="single" w:sz="6" w:color="B0B7C3"/>
              <w:left w:val="single" w:sz="6" w:color="B0B7C3"/>
              <w:bottom w:val="single" w:sz="6" w:color="B0B7C3"/>
              <w:right w:val="single" w:sz="6" w:color="B0B7C3"/>
            </w:tcBorders>
            <w:shd w:fill="F6F7FA" w:val="clear"/>
          </w:tcPr>
          <w:p>
            <w:pPr>
              <w:jc w:val="left"/>
            </w:pPr>
            <w:r/>
            <w:r>
              <w:rPr>
                <w:b w:val="0"/>
                <w:color w:val="1A1A1A"/>
                <w:sz w:val="19"/>
              </w:rPr>
              <w:t>Municipal / Private Institute</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16,009</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15,787</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176</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46</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222,199</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151,639</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22,623</w:t>
            </w:r>
          </w:p>
        </w:tc>
        <w:tc>
          <w:tcPr>
            <w:tcW w:type="dxa" w:w="1008"/>
            <w:vAlign w:val="center"/>
            <w:tcBorders>
              <w:top w:val="single" w:sz="6" w:color="B0B7C3"/>
              <w:left w:val="single" w:sz="6" w:color="B0B7C3"/>
              <w:bottom w:val="single" w:sz="6" w:color="B0B7C3"/>
              <w:right w:val="single" w:sz="6" w:color="B0B7C3"/>
            </w:tcBorders>
            <w:shd w:fill="F6F7FA" w:val="clear"/>
          </w:tcPr>
          <w:p>
            <w:pPr>
              <w:jc w:val="right"/>
            </w:pPr>
            <w:r/>
            <w:r>
              <w:rPr>
                <w:b w:val="0"/>
                <w:color w:val="1A1A1A"/>
                <w:sz w:val="19"/>
              </w:rPr>
              <w:t>47,937</w:t>
            </w:r>
          </w:p>
        </w:tc>
      </w:tr>
      <w:tr>
        <w:tc>
          <w:tcPr>
            <w:tcW w:type="dxa" w:w="1008"/>
            <w:vAlign w:val="center"/>
            <w:tcBorders>
              <w:top w:val="single" w:sz="6" w:color="B0B7C3"/>
              <w:left w:val="single" w:sz="6" w:color="B0B7C3"/>
              <w:bottom w:val="single" w:sz="6" w:color="B0B7C3"/>
              <w:right w:val="single" w:sz="6" w:color="B0B7C3"/>
            </w:tcBorders>
          </w:tcPr>
          <w:p>
            <w:pPr>
              <w:jc w:val="left"/>
            </w:pPr>
            <w:r/>
            <w:r>
              <w:rPr>
                <w:b w:val="0"/>
                <w:color w:val="1A1A1A"/>
                <w:sz w:val="19"/>
              </w:rPr>
              <w:t>09</w:t>
            </w:r>
          </w:p>
        </w:tc>
        <w:tc>
          <w:tcPr>
            <w:tcW w:type="dxa" w:w="1008"/>
            <w:vAlign w:val="center"/>
            <w:tcBorders>
              <w:top w:val="single" w:sz="6" w:color="B0B7C3"/>
              <w:left w:val="single" w:sz="6" w:color="B0B7C3"/>
              <w:bottom w:val="single" w:sz="6" w:color="B0B7C3"/>
              <w:right w:val="single" w:sz="6" w:color="B0B7C3"/>
            </w:tcBorders>
          </w:tcPr>
          <w:p>
            <w:pPr>
              <w:jc w:val="left"/>
            </w:pPr>
            <w:r/>
            <w:r>
              <w:rPr>
                <w:b w:val="0"/>
                <w:color w:val="1A1A1A"/>
                <w:sz w:val="19"/>
              </w:rPr>
              <w:t>Private College / University</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2,423</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2,160</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171</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92</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112,332</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32,102</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17,286</w:t>
            </w:r>
          </w:p>
        </w:tc>
        <w:tc>
          <w:tcPr>
            <w:tcW w:type="dxa" w:w="1008"/>
            <w:vAlign w:val="center"/>
            <w:tcBorders>
              <w:top w:val="single" w:sz="6" w:color="B0B7C3"/>
              <w:left w:val="single" w:sz="6" w:color="B0B7C3"/>
              <w:bottom w:val="single" w:sz="6" w:color="B0B7C3"/>
              <w:right w:val="single" w:sz="6" w:color="B0B7C3"/>
            </w:tcBorders>
          </w:tcPr>
          <w:p>
            <w:pPr>
              <w:jc w:val="right"/>
            </w:pPr>
            <w:r/>
            <w:r>
              <w:rPr>
                <w:b w:val="0"/>
                <w:color w:val="1A1A1A"/>
                <w:sz w:val="19"/>
              </w:rPr>
              <w:t>62,944</w:t>
            </w:r>
          </w:p>
        </w:tc>
      </w:tr>
      <w:tr>
        <w:tc>
          <w:tcPr>
            <w:tcW w:type="dxa" w:w="1008"/>
            <w:vAlign w:val="center"/>
            <w:tcBorders>
              <w:top w:val="single" w:sz="6" w:color="B0B7C3"/>
              <w:left w:val="single" w:sz="6" w:color="B0B7C3"/>
              <w:bottom w:val="single" w:sz="6" w:color="B0B7C3"/>
              <w:right w:val="single" w:sz="6" w:color="B0B7C3"/>
            </w:tcBorders>
            <w:shd w:fill="FDF3D3" w:val="clear"/>
          </w:tcPr>
          <w:p>
            <w:pPr>
              <w:jc w:val="left"/>
            </w:pPr>
            <w:r/>
            <w:r>
              <w:rPr>
                <w:b w:val="0"/>
                <w:color w:val="1A1A1A"/>
                <w:sz w:val="19"/>
              </w:rPr>
              <w:t>15</w:t>
            </w:r>
          </w:p>
        </w:tc>
        <w:tc>
          <w:tcPr>
            <w:tcW w:type="dxa" w:w="1008"/>
            <w:vAlign w:val="center"/>
            <w:tcBorders>
              <w:top w:val="single" w:sz="6" w:color="B0B7C3"/>
              <w:left w:val="single" w:sz="6" w:color="B0B7C3"/>
              <w:bottom w:val="single" w:sz="6" w:color="B0B7C3"/>
              <w:right w:val="single" w:sz="6" w:color="B0B7C3"/>
            </w:tcBorders>
            <w:shd w:fill="FDF3D3" w:val="clear"/>
          </w:tcPr>
          <w:p>
            <w:pPr>
              <w:jc w:val="left"/>
            </w:pPr>
            <w:r/>
            <w:r>
              <w:rPr>
                <w:b/>
                <w:color w:val="1A1A1A"/>
                <w:sz w:val="19"/>
              </w:rPr>
              <w:t>McMaster-Carr internal</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5</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0</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0</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5</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42,130</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0</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0</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42,130</w:t>
            </w:r>
          </w:p>
        </w:tc>
      </w:tr>
      <w:tr>
        <w:tc>
          <w:tcPr>
            <w:tcW w:type="dxa" w:w="1008"/>
            <w:vAlign w:val="center"/>
            <w:tcBorders>
              <w:top w:val="single" w:sz="6" w:color="B0B7C3"/>
              <w:left w:val="single" w:sz="6" w:color="B0B7C3"/>
              <w:bottom w:val="single" w:sz="6" w:color="B0B7C3"/>
              <w:right w:val="single" w:sz="6" w:color="B0B7C3"/>
            </w:tcBorders>
            <w:shd w:fill="FDF3D3" w:val="clear"/>
          </w:tcPr>
          <w:p>
            <w:pPr>
              <w:jc w:val="left"/>
            </w:pPr>
            <w:r/>
            <w:r>
              <w:rPr>
                <w:b w:val="0"/>
                <w:color w:val="1A1A1A"/>
                <w:sz w:val="19"/>
              </w:rPr>
              <w:t>—</w:t>
            </w:r>
          </w:p>
        </w:tc>
        <w:tc>
          <w:tcPr>
            <w:tcW w:type="dxa" w:w="1008"/>
            <w:vAlign w:val="center"/>
            <w:tcBorders>
              <w:top w:val="single" w:sz="6" w:color="B0B7C3"/>
              <w:left w:val="single" w:sz="6" w:color="B0B7C3"/>
              <w:bottom w:val="single" w:sz="6" w:color="B0B7C3"/>
              <w:right w:val="single" w:sz="6" w:color="B0B7C3"/>
            </w:tcBorders>
            <w:shd w:fill="FDF3D3" w:val="clear"/>
          </w:tcPr>
          <w:p>
            <w:pPr>
              <w:jc w:val="left"/>
            </w:pPr>
            <w:r/>
            <w:r>
              <w:rPr>
                <w:b/>
                <w:color w:val="1A1A1A"/>
                <w:sz w:val="19"/>
              </w:rPr>
              <w:t>Total (ex-distributor)</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28,453</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27,338</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817</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298</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620,527</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294,540</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94,686</w:t>
            </w:r>
          </w:p>
        </w:tc>
        <w:tc>
          <w:tcPr>
            <w:tcW w:type="dxa" w:w="1008"/>
            <w:vAlign w:val="center"/>
            <w:tcBorders>
              <w:top w:val="single" w:sz="6" w:color="B0B7C3"/>
              <w:left w:val="single" w:sz="6" w:color="B0B7C3"/>
              <w:bottom w:val="single" w:sz="6" w:color="B0B7C3"/>
              <w:right w:val="single" w:sz="6" w:color="B0B7C3"/>
            </w:tcBorders>
            <w:shd w:fill="FDF3D3" w:val="clear"/>
          </w:tcPr>
          <w:p>
            <w:pPr>
              <w:jc w:val="right"/>
            </w:pPr>
            <w:r/>
            <w:r>
              <w:rPr>
                <w:b/>
                <w:color w:val="1A1A1A"/>
                <w:sz w:val="19"/>
              </w:rPr>
              <w:t>231,301</w:t>
            </w:r>
          </w:p>
        </w:tc>
      </w:tr>
    </w:tbl>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