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8686800" cy="6712527"/>
            <wp:docPr id="1" name="Picture 1"/>
            <wp:cNvGraphicFramePr>
              <a:graphicFrameLocks noChangeAspect="1"/>
            </wp:cNvGraphicFramePr>
            <a:graphic>
              <a:graphicData uri="http://schemas.openxmlformats.org/drawingml/2006/picture">
                <pic:pic>
                  <pic:nvPicPr>
                    <pic:cNvPr id="0" name="slv_eligibility_page1.png"/>
                    <pic:cNvPicPr/>
                  </pic:nvPicPr>
                  <pic:blipFill>
                    <a:blip r:embed="rId9"/>
                    <a:stretch>
                      <a:fillRect/>
                    </a:stretch>
                  </pic:blipFill>
                  <pic:spPr>
                    <a:xfrm>
                      <a:off x="0" y="0"/>
                      <a:ext cx="8686800" cy="6712527"/>
                    </a:xfrm>
                    <a:prstGeom prst="rect"/>
                  </pic:spPr>
                </pic:pic>
              </a:graphicData>
            </a:graphic>
          </wp:inline>
        </w:drawing>
      </w:r>
    </w:p>
    <w:p>
      <w:r>
        <w:br w:type="page"/>
      </w:r>
    </w:p>
    <w:p>
      <w:pPr>
        <w:spacing w:after="240"/>
        <w:pBdr>
          <w:bottom w:val="single" w:sz="8" w:color="2F4A7C"/>
        </w:pBdr>
      </w:pPr>
      <w:r>
        <w:rPr>
          <w:b/>
          <w:color w:val="2F4A7C"/>
          <w:sz w:val="40"/>
        </w:rPr>
        <w:t>Updating Shipping Location View Rules</w:t>
      </w:r>
    </w:p>
    <w:p>
      <w:pPr>
        <w:spacing w:after="280"/>
      </w:pPr>
      <w:r>
        <w:rPr>
          <w:sz w:val="22"/>
        </w:rPr>
        <w:t>We introduced Shipping Location View in 2017 to let coworkers at the same shipping location see one another’s order history. Since then, we have seen the reordering benefits from customers with shared order history and purple links. The eligibility rules have not been revisited. This is an opportunity to revisit the combination of rules as a starting point to extend the benefit to more of our customers.</w:t>
      </w:r>
    </w:p>
    <w:p>
      <w:pPr>
        <w:spacing w:before="40" w:after="80"/>
      </w:pPr>
      <w:r>
        <w:rPr>
          <w:b/>
          <w:color w:val="2F4A7C"/>
          <w:sz w:val="28"/>
        </w:rPr>
        <w:t>1. Raising the Contact-Count Threshold</w:t>
      </w:r>
    </w:p>
    <w:p>
      <w:pPr>
        <w:spacing w:after="120"/>
      </w:pPr>
      <w:r>
        <w:rPr>
          <w:sz w:val="22"/>
        </w:rPr>
        <w:t>The current rule excludes any shipping location with 10 or more active ordering contacts. The table below shows how many shipping locations and orders would qualify at each higher threshold.</w:t>
      </w:r>
    </w:p>
    <w:tbl>
      <w:tblPr>
        <w:tblW w:type="auto" w:w="0"/>
        <w:jc w:val="left"/>
        <w:tblLook w:firstColumn="1" w:firstRow="1" w:lastColumn="0" w:lastRow="0" w:noHBand="0" w:noVBand="1" w:val="04A0"/>
      </w:tblPr>
      <w:tblGrid>
        <w:gridCol w:w="2160"/>
        <w:gridCol w:w="2016"/>
        <w:gridCol w:w="1440"/>
        <w:gridCol w:w="2880"/>
        <w:gridCol w:w="2448"/>
        <w:gridCol w:w="1584"/>
      </w:tblGrid>
      <w:tr>
        <w:trPr>
          <w:trHeight w:val="440" w:hRule="atLeast"/>
        </w:trPr>
        <w:tc>
          <w:tcPr>
            <w:tcW w:type="dxa" w:w="2160"/>
            <w:vAlign w:val="center"/>
            <w:tcBorders>
              <w:top w:val="single" w:sz="6" w:color="B0B7C3"/>
              <w:left w:val="single" w:sz="6" w:color="B0B7C3"/>
              <w:bottom w:val="single" w:sz="6" w:color="B0B7C3"/>
              <w:right w:val="single" w:sz="6" w:color="B0B7C3"/>
            </w:tcBorders>
            <w:shd w:fill="2F4A7C" w:val="clear"/>
          </w:tcPr>
          <w:p>
            <w:pPr>
              <w:spacing w:before="0" w:after="0"/>
              <w:jc w:val="center"/>
            </w:pPr>
            <w:r/>
            <w:r>
              <w:rPr>
                <w:b/>
                <w:color w:val="FFFFFF"/>
                <w:sz w:val="21"/>
              </w:rPr>
              <w:t>Threshold</w:t>
            </w:r>
          </w:p>
        </w:tc>
        <w:tc>
          <w:tcPr>
            <w:tcW w:type="dxa" w:w="2016"/>
            <w:vAlign w:val="center"/>
            <w:tcBorders>
              <w:top w:val="single" w:sz="6" w:color="B0B7C3"/>
              <w:left w:val="single" w:sz="6" w:color="B0B7C3"/>
              <w:bottom w:val="single" w:sz="6" w:color="B0B7C3"/>
              <w:right w:val="single" w:sz="6" w:color="B0B7C3"/>
            </w:tcBorders>
            <w:shd w:fill="2F4A7C" w:val="clear"/>
          </w:tcPr>
          <w:p>
            <w:pPr>
              <w:spacing w:before="0" w:after="0"/>
              <w:jc w:val="center"/>
            </w:pPr>
            <w:r/>
            <w:r>
              <w:rPr>
                <w:b/>
                <w:color w:val="FFFFFF"/>
                <w:sz w:val="21"/>
              </w:rPr>
              <w:t>CMFs</w:t>
            </w:r>
          </w:p>
        </w:tc>
        <w:tc>
          <w:tcPr>
            <w:tcW w:type="dxa" w:w="1440"/>
            <w:vAlign w:val="center"/>
            <w:tcBorders>
              <w:top w:val="single" w:sz="6" w:color="B0B7C3"/>
              <w:left w:val="single" w:sz="6" w:color="B0B7C3"/>
              <w:bottom w:val="single" w:sz="6" w:color="B0B7C3"/>
              <w:right w:val="single" w:sz="6" w:color="B0B7C3"/>
            </w:tcBorders>
            <w:shd w:fill="2F4A7C" w:val="clear"/>
          </w:tcPr>
          <w:p>
            <w:pPr>
              <w:spacing w:before="0" w:after="0"/>
              <w:jc w:val="center"/>
            </w:pPr>
            <w:r/>
            <w:r>
              <w:rPr>
                <w:b/>
                <w:color w:val="FFFFFF"/>
                <w:sz w:val="21"/>
              </w:rPr>
              <w:t>% of CMFs</w:t>
            </w:r>
          </w:p>
        </w:tc>
        <w:tc>
          <w:tcPr>
            <w:tcW w:type="dxa" w:w="2880"/>
            <w:vAlign w:val="center"/>
            <w:tcBorders>
              <w:top w:val="single" w:sz="6" w:color="B0B7C3"/>
              <w:left w:val="single" w:sz="6" w:color="B0B7C3"/>
              <w:bottom w:val="single" w:sz="6" w:color="B0B7C3"/>
              <w:right w:val="single" w:sz="6" w:color="B0B7C3"/>
            </w:tcBorders>
            <w:shd w:fill="2F4A7C" w:val="clear"/>
          </w:tcPr>
          <w:p>
            <w:pPr>
              <w:spacing w:before="0" w:after="0"/>
              <w:jc w:val="center"/>
            </w:pPr>
            <w:r/>
            <w:r>
              <w:rPr>
                <w:b/>
                <w:color w:val="FFFFFF"/>
                <w:sz w:val="21"/>
              </w:rPr>
              <w:t>Orders</w:t>
            </w:r>
          </w:p>
        </w:tc>
        <w:tc>
          <w:tcPr>
            <w:tcW w:type="dxa" w:w="2448"/>
            <w:vAlign w:val="center"/>
            <w:tcBorders>
              <w:top w:val="single" w:sz="6" w:color="B0B7C3"/>
              <w:left w:val="single" w:sz="6" w:color="B0B7C3"/>
              <w:bottom w:val="single" w:sz="6" w:color="B0B7C3"/>
              <w:right w:val="single" w:sz="6" w:color="B0B7C3"/>
            </w:tcBorders>
            <w:shd w:fill="2F4A7C" w:val="clear"/>
          </w:tcPr>
          <w:p>
            <w:pPr>
              <w:spacing w:before="0" w:after="0"/>
              <w:jc w:val="center"/>
            </w:pPr>
            <w:r/>
            <w:r>
              <w:rPr>
                <w:b/>
                <w:color w:val="FFFFFF"/>
                <w:sz w:val="21"/>
              </w:rPr>
              <w:t>Marginal Orders (Δ)</w:t>
            </w:r>
          </w:p>
        </w:tc>
        <w:tc>
          <w:tcPr>
            <w:tcW w:type="dxa" w:w="1584"/>
            <w:vAlign w:val="center"/>
            <w:tcBorders>
              <w:top w:val="single" w:sz="6" w:color="B0B7C3"/>
              <w:left w:val="single" w:sz="6" w:color="B0B7C3"/>
              <w:bottom w:val="single" w:sz="6" w:color="B0B7C3"/>
              <w:right w:val="single" w:sz="6" w:color="B0B7C3"/>
            </w:tcBorders>
            <w:shd w:fill="2F4A7C" w:val="clear"/>
          </w:tcPr>
          <w:p>
            <w:pPr>
              <w:spacing w:before="0" w:after="0"/>
              <w:jc w:val="center"/>
            </w:pPr>
            <w:r/>
            <w:r>
              <w:rPr>
                <w:b/>
                <w:color w:val="FFFFFF"/>
                <w:sz w:val="21"/>
              </w:rPr>
              <w:t>% of Orders</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10 (current)</w:t>
            </w:r>
          </w:p>
        </w:tc>
        <w:tc>
          <w:tcPr>
            <w:tcW w:type="dxa" w:w="2016"/>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532,692</w:t>
            </w:r>
          </w:p>
        </w:tc>
        <w:tc>
          <w:tcPr>
            <w:tcW w:type="dxa" w:w="144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97.7%</w:t>
            </w:r>
          </w:p>
        </w:tc>
        <w:tc>
          <w:tcPr>
            <w:tcW w:type="dxa" w:w="288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12,696,477</w:t>
            </w:r>
          </w:p>
        </w:tc>
        <w:tc>
          <w:tcPr>
            <w:tcW w:type="dxa" w:w="2448"/>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w:t>
            </w:r>
          </w:p>
        </w:tc>
        <w:tc>
          <w:tcPr>
            <w:tcW w:type="dxa" w:w="1584"/>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74.8%</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12</w:t>
            </w:r>
          </w:p>
        </w:tc>
        <w:tc>
          <w:tcPr>
            <w:tcW w:type="dxa" w:w="2016"/>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536,042</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98.4%</w:t>
            </w:r>
          </w:p>
        </w:tc>
        <w:tc>
          <w:tcPr>
            <w:tcW w:type="dxa" w:w="288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13,207,047</w:t>
            </w:r>
          </w:p>
        </w:tc>
        <w:tc>
          <w:tcPr>
            <w:tcW w:type="dxa" w:w="2448"/>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+510,570</w:t>
            </w:r>
          </w:p>
        </w:tc>
        <w:tc>
          <w:tcPr>
            <w:tcW w:type="dxa" w:w="1584"/>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77.8%</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15</w:t>
            </w:r>
          </w:p>
        </w:tc>
        <w:tc>
          <w:tcPr>
            <w:tcW w:type="dxa" w:w="2016"/>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538,906</w:t>
            </w:r>
          </w:p>
        </w:tc>
        <w:tc>
          <w:tcPr>
            <w:tcW w:type="dxa" w:w="144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98.9%</w:t>
            </w:r>
          </w:p>
        </w:tc>
        <w:tc>
          <w:tcPr>
            <w:tcW w:type="dxa" w:w="288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13,717,234</w:t>
            </w:r>
          </w:p>
        </w:tc>
        <w:tc>
          <w:tcPr>
            <w:tcW w:type="dxa" w:w="2448"/>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+510,187</w:t>
            </w:r>
          </w:p>
        </w:tc>
        <w:tc>
          <w:tcPr>
            <w:tcW w:type="dxa" w:w="1584"/>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80.8%</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20</w:t>
            </w:r>
          </w:p>
        </w:tc>
        <w:tc>
          <w:tcPr>
            <w:tcW w:type="dxa" w:w="2016"/>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541,297</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99.3%</w:t>
            </w:r>
          </w:p>
        </w:tc>
        <w:tc>
          <w:tcPr>
            <w:tcW w:type="dxa" w:w="288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14,226,992</w:t>
            </w:r>
          </w:p>
        </w:tc>
        <w:tc>
          <w:tcPr>
            <w:tcW w:type="dxa" w:w="2448"/>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+509,758</w:t>
            </w:r>
          </w:p>
        </w:tc>
        <w:tc>
          <w:tcPr>
            <w:tcW w:type="dxa" w:w="1584"/>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83.8%</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25</w:t>
            </w:r>
          </w:p>
        </w:tc>
        <w:tc>
          <w:tcPr>
            <w:tcW w:type="dxa" w:w="2016"/>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542,518</w:t>
            </w:r>
          </w:p>
        </w:tc>
        <w:tc>
          <w:tcPr>
            <w:tcW w:type="dxa" w:w="144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99.5%</w:t>
            </w:r>
          </w:p>
        </w:tc>
        <w:tc>
          <w:tcPr>
            <w:tcW w:type="dxa" w:w="288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14,554,315</w:t>
            </w:r>
          </w:p>
        </w:tc>
        <w:tc>
          <w:tcPr>
            <w:tcW w:type="dxa" w:w="2448"/>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+327,323</w:t>
            </w:r>
          </w:p>
        </w:tc>
        <w:tc>
          <w:tcPr>
            <w:tcW w:type="dxa" w:w="1584"/>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85.7%</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50</w:t>
            </w:r>
          </w:p>
        </w:tc>
        <w:tc>
          <w:tcPr>
            <w:tcW w:type="dxa" w:w="2016"/>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544,279</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99.9%</w:t>
            </w:r>
          </w:p>
        </w:tc>
        <w:tc>
          <w:tcPr>
            <w:tcW w:type="dxa" w:w="288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15,232,307</w:t>
            </w:r>
          </w:p>
        </w:tc>
        <w:tc>
          <w:tcPr>
            <w:tcW w:type="dxa" w:w="2448"/>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+678,000</w:t>
            </w:r>
          </w:p>
        </w:tc>
        <w:tc>
          <w:tcPr>
            <w:tcW w:type="dxa" w:w="1584"/>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89.7%</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Above 50</w:t>
            </w:r>
          </w:p>
        </w:tc>
        <w:tc>
          <w:tcPr>
            <w:tcW w:type="dxa" w:w="2016"/>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545,030</w:t>
            </w:r>
          </w:p>
        </w:tc>
        <w:tc>
          <w:tcPr>
            <w:tcW w:type="dxa" w:w="144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100.0%</w:t>
            </w:r>
          </w:p>
        </w:tc>
        <w:tc>
          <w:tcPr>
            <w:tcW w:type="dxa" w:w="288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16,985,084</w:t>
            </w:r>
          </w:p>
        </w:tc>
        <w:tc>
          <w:tcPr>
            <w:tcW w:type="dxa" w:w="2448"/>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+1,752,777</w:t>
            </w:r>
          </w:p>
        </w:tc>
        <w:tc>
          <w:tcPr>
            <w:tcW w:type="dxa" w:w="1584"/>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100.0%</w:t>
            </w:r>
          </w:p>
        </w:tc>
      </w:tr>
    </w:tbl>
    <w:p>
      <w:pPr>
        <w:spacing w:before="320" w:after="80"/>
      </w:pPr>
      <w:r>
        <w:rPr>
          <w:b/>
          <w:color w:val="2F4A7C"/>
          <w:sz w:val="28"/>
        </w:rPr>
        <w:t>2. List Codes by Contact Count</w:t>
      </w:r>
    </w:p>
    <w:p>
      <w:pPr>
        <w:spacing w:after="120"/>
      </w:pPr>
      <w:r>
        <w:rPr>
          <w:sz w:val="22"/>
        </w:rPr>
        <w:t>Every list code, split by active-contact range (fewer than 10, 10–25, or 25 or more). The highlighted rows are the list codes excluded from Shipping Location View.</w:t>
      </w:r>
    </w:p>
    <w:tbl>
      <w:tblPr>
        <w:tblW w:type="auto" w:w="0"/>
        <w:jc w:val="left"/>
        <w:tblLook w:firstColumn="1" w:firstRow="1" w:lastColumn="0" w:lastRow="0" w:noHBand="0" w:noVBand="1" w:val="04A0"/>
      </w:tblPr>
      <w:tblGrid>
        <w:gridCol w:w="1296"/>
        <w:gridCol w:w="3888"/>
        <w:gridCol w:w="1512"/>
        <w:gridCol w:w="1440"/>
        <w:gridCol w:w="1512"/>
        <w:gridCol w:w="1440"/>
        <w:gridCol w:w="1944"/>
      </w:tblGrid>
      <w:tr>
        <w:trPr>
          <w:trHeight w:val="440" w:hRule="atLeast"/>
        </w:trPr>
        <w:tc>
          <w:tcPr>
            <w:tcW w:type="dxa" w:w="1296"/>
            <w:vAlign w:val="center"/>
            <w:tcBorders>
              <w:top w:val="single" w:sz="6" w:color="B0B7C3"/>
              <w:left w:val="single" w:sz="6" w:color="B0B7C3"/>
              <w:bottom w:val="single" w:sz="6" w:color="B0B7C3"/>
              <w:right w:val="single" w:sz="6" w:color="B0B7C3"/>
            </w:tcBorders>
            <w:shd w:fill="2F4A7C" w:val="clear"/>
          </w:tcPr>
          <w:p>
            <w:pPr>
              <w:spacing w:before="0" w:after="0"/>
              <w:jc w:val="center"/>
            </w:pPr>
            <w:r/>
            <w:r>
              <w:rPr>
                <w:b/>
                <w:color w:val="FFFFFF"/>
                <w:sz w:val="21"/>
              </w:rPr>
              <w:t>List Code</w:t>
            </w:r>
          </w:p>
        </w:tc>
        <w:tc>
          <w:tcPr>
            <w:tcW w:type="dxa" w:w="3888"/>
            <w:vAlign w:val="center"/>
            <w:tcBorders>
              <w:top w:val="single" w:sz="6" w:color="B0B7C3"/>
              <w:left w:val="single" w:sz="6" w:color="B0B7C3"/>
              <w:bottom w:val="single" w:sz="6" w:color="B0B7C3"/>
              <w:right w:val="single" w:sz="6" w:color="B0B7C3"/>
            </w:tcBorders>
            <w:shd w:fill="2F4A7C" w:val="clear"/>
          </w:tcPr>
          <w:p>
            <w:pPr>
              <w:spacing w:before="0" w:after="0"/>
              <w:jc w:val="center"/>
            </w:pPr>
            <w:r/>
            <w:r>
              <w:rPr>
                <w:b/>
                <w:color w:val="FFFFFF"/>
                <w:sz w:val="21"/>
              </w:rPr>
              <w:t>Category</w:t>
            </w:r>
          </w:p>
        </w:tc>
        <w:tc>
          <w:tcPr>
            <w:tcW w:type="dxa" w:w="1512"/>
            <w:vAlign w:val="center"/>
            <w:tcBorders>
              <w:top w:val="single" w:sz="6" w:color="B0B7C3"/>
              <w:left w:val="single" w:sz="6" w:color="B0B7C3"/>
              <w:bottom w:val="single" w:sz="6" w:color="B0B7C3"/>
              <w:right w:val="single" w:sz="6" w:color="B0B7C3"/>
            </w:tcBorders>
            <w:shd w:fill="2F4A7C" w:val="clear"/>
          </w:tcPr>
          <w:p>
            <w:pPr>
              <w:spacing w:before="0" w:after="0"/>
              <w:jc w:val="center"/>
            </w:pPr>
            <w:r/>
            <w:r>
              <w:rPr>
                <w:b/>
                <w:color w:val="FFFFFF"/>
                <w:sz w:val="21"/>
              </w:rPr>
              <w:t>Total CMFs</w:t>
            </w:r>
          </w:p>
        </w:tc>
        <w:tc>
          <w:tcPr>
            <w:tcW w:type="dxa" w:w="1440"/>
            <w:vAlign w:val="center"/>
            <w:tcBorders>
              <w:top w:val="single" w:sz="6" w:color="B0B7C3"/>
              <w:left w:val="single" w:sz="6" w:color="B0B7C3"/>
              <w:bottom w:val="single" w:sz="6" w:color="B0B7C3"/>
              <w:right w:val="single" w:sz="6" w:color="B0B7C3"/>
            </w:tcBorders>
            <w:shd w:fill="2F4A7C" w:val="clear"/>
          </w:tcPr>
          <w:p>
            <w:pPr>
              <w:spacing w:before="0" w:after="0"/>
              <w:jc w:val="center"/>
            </w:pPr>
            <w:r/>
            <w:r>
              <w:rPr>
                <w:b/>
                <w:color w:val="FFFFFF"/>
                <w:sz w:val="21"/>
              </w:rPr>
              <w:t>CMFs &lt;10</w:t>
            </w:r>
          </w:p>
        </w:tc>
        <w:tc>
          <w:tcPr>
            <w:tcW w:type="dxa" w:w="1512"/>
            <w:vAlign w:val="center"/>
            <w:tcBorders>
              <w:top w:val="single" w:sz="6" w:color="B0B7C3"/>
              <w:left w:val="single" w:sz="6" w:color="B0B7C3"/>
              <w:bottom w:val="single" w:sz="6" w:color="B0B7C3"/>
              <w:right w:val="single" w:sz="6" w:color="B0B7C3"/>
            </w:tcBorders>
            <w:shd w:fill="2F4A7C" w:val="clear"/>
          </w:tcPr>
          <w:p>
            <w:pPr>
              <w:spacing w:before="0" w:after="0"/>
              <w:jc w:val="center"/>
            </w:pPr>
            <w:r/>
            <w:r>
              <w:rPr>
                <w:b/>
                <w:color w:val="FFFFFF"/>
                <w:sz w:val="21"/>
              </w:rPr>
              <w:t>CMFs 10–25</w:t>
            </w:r>
          </w:p>
        </w:tc>
        <w:tc>
          <w:tcPr>
            <w:tcW w:type="dxa" w:w="1440"/>
            <w:vAlign w:val="center"/>
            <w:tcBorders>
              <w:top w:val="single" w:sz="6" w:color="B0B7C3"/>
              <w:left w:val="single" w:sz="6" w:color="B0B7C3"/>
              <w:bottom w:val="single" w:sz="6" w:color="B0B7C3"/>
              <w:right w:val="single" w:sz="6" w:color="B0B7C3"/>
            </w:tcBorders>
            <w:shd w:fill="2F4A7C" w:val="clear"/>
          </w:tcPr>
          <w:p>
            <w:pPr>
              <w:spacing w:before="0" w:after="0"/>
              <w:jc w:val="center"/>
            </w:pPr>
            <w:r/>
            <w:r>
              <w:rPr>
                <w:b/>
                <w:color w:val="FFFFFF"/>
                <w:sz w:val="21"/>
              </w:rPr>
              <w:t>CMFs 25+</w:t>
            </w:r>
          </w:p>
        </w:tc>
        <w:tc>
          <w:tcPr>
            <w:tcW w:type="dxa" w:w="1944"/>
            <w:vAlign w:val="center"/>
            <w:tcBorders>
              <w:top w:val="single" w:sz="6" w:color="B0B7C3"/>
              <w:left w:val="single" w:sz="6" w:color="B0B7C3"/>
              <w:bottom w:val="single" w:sz="6" w:color="B0B7C3"/>
              <w:right w:val="single" w:sz="6" w:color="B0B7C3"/>
            </w:tcBorders>
            <w:shd w:fill="2F4A7C" w:val="clear"/>
          </w:tcPr>
          <w:p>
            <w:pPr>
              <w:spacing w:before="0" w:after="0"/>
              <w:jc w:val="center"/>
            </w:pPr>
            <w:r/>
            <w:r>
              <w:rPr>
                <w:b/>
                <w:color w:val="FFFFFF"/>
                <w:sz w:val="21"/>
              </w:rPr>
              <w:t>Total Orders</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05</w:t>
            </w:r>
          </w:p>
        </w:tc>
        <w:tc>
          <w:tcPr>
            <w:tcW w:type="dxa" w:w="3888"/>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Federal Gov (Domestic)</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3,032</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2,924</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87</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21</w:t>
            </w:r>
          </w:p>
        </w:tc>
        <w:tc>
          <w:tcPr>
            <w:tcW w:type="dxa" w:w="1944"/>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58,169</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06</w:t>
            </w:r>
          </w:p>
        </w:tc>
        <w:tc>
          <w:tcPr>
            <w:tcW w:type="dxa" w:w="3888"/>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Federal Gov (APO/FPO)</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186</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185</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1</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0</w:t>
            </w:r>
          </w:p>
        </w:tc>
        <w:tc>
          <w:tcPr>
            <w:tcW w:type="dxa" w:w="1944"/>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786</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07</w:t>
            </w:r>
          </w:p>
        </w:tc>
        <w:tc>
          <w:tcPr>
            <w:tcW w:type="dxa" w:w="3888"/>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State Gov</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6,798</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6,282</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382</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134</w:t>
            </w:r>
          </w:p>
        </w:tc>
        <w:tc>
          <w:tcPr>
            <w:tcW w:type="dxa" w:w="1944"/>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184,911</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08</w:t>
            </w:r>
          </w:p>
        </w:tc>
        <w:tc>
          <w:tcPr>
            <w:tcW w:type="dxa" w:w="3888"/>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Municipal / Private Institute</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16,009</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15,787</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176</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46</w:t>
            </w:r>
          </w:p>
        </w:tc>
        <w:tc>
          <w:tcPr>
            <w:tcW w:type="dxa" w:w="1944"/>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222,199</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09</w:t>
            </w:r>
          </w:p>
        </w:tc>
        <w:tc>
          <w:tcPr>
            <w:tcW w:type="dxa" w:w="3888"/>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Private College / University</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2,423</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2,160</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171</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92</w:t>
            </w:r>
          </w:p>
        </w:tc>
        <w:tc>
          <w:tcPr>
            <w:tcW w:type="dxa" w:w="1944"/>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112,332</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15</w:t>
            </w:r>
          </w:p>
        </w:tc>
        <w:tc>
          <w:tcPr>
            <w:tcW w:type="dxa" w:w="3888"/>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McMaster-Carr Internal</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5</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0</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0</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5</w:t>
            </w:r>
          </w:p>
        </w:tc>
        <w:tc>
          <w:tcPr>
            <w:tcW w:type="dxa" w:w="1944"/>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42,130</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97</w:t>
            </w:r>
          </w:p>
        </w:tc>
        <w:tc>
          <w:tcPr>
            <w:tcW w:type="dxa" w:w="3888"/>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Distributor</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21,547</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21,319</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211</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17</w:t>
            </w:r>
          </w:p>
        </w:tc>
        <w:tc>
          <w:tcPr>
            <w:tcW w:type="dxa" w:w="1944"/>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387,394</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color w:val="1A1A1A"/>
                <w:sz w:val="21"/>
              </w:rPr>
              <w:t>—</w:t>
            </w:r>
          </w:p>
        </w:tc>
        <w:tc>
          <w:tcPr>
            <w:tcW w:type="dxa" w:w="3888"/>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color w:val="1A1A1A"/>
                <w:sz w:val="21"/>
              </w:rPr>
              <w:t>Excluded subtotal</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color w:val="1A1A1A"/>
                <w:sz w:val="21"/>
              </w:rPr>
              <w:t>50,000</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color w:val="1A1A1A"/>
                <w:sz w:val="21"/>
              </w:rPr>
              <w:t>48,657</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color w:val="1A1A1A"/>
                <w:sz w:val="21"/>
              </w:rPr>
              <w:t>1,028</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color w:val="1A1A1A"/>
                <w:sz w:val="21"/>
              </w:rPr>
              <w:t>315</w:t>
            </w:r>
          </w:p>
        </w:tc>
        <w:tc>
          <w:tcPr>
            <w:tcW w:type="dxa" w:w="1944"/>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color w:val="1A1A1A"/>
                <w:sz w:val="21"/>
              </w:rPr>
              <w:t>1,007,921</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01, 02</w:t>
            </w:r>
          </w:p>
        </w:tc>
        <w:tc>
          <w:tcPr>
            <w:tcW w:type="dxa" w:w="3888"/>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Regular / National</w:t>
            </w:r>
          </w:p>
        </w:tc>
        <w:tc>
          <w:tcPr>
            <w:tcW w:type="dxa" w:w="1512"/>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277,280</w:t>
            </w:r>
          </w:p>
        </w:tc>
        <w:tc>
          <w:tcPr>
            <w:tcW w:type="dxa" w:w="144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267,581</w:t>
            </w:r>
          </w:p>
        </w:tc>
        <w:tc>
          <w:tcPr>
            <w:tcW w:type="dxa" w:w="1512"/>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7,883</w:t>
            </w:r>
          </w:p>
        </w:tc>
        <w:tc>
          <w:tcPr>
            <w:tcW w:type="dxa" w:w="144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1,816</w:t>
            </w:r>
          </w:p>
        </w:tc>
        <w:tc>
          <w:tcPr>
            <w:tcW w:type="dxa" w:w="1944"/>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13,097,828</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14, 90, 98</w:t>
            </w:r>
          </w:p>
        </w:tc>
        <w:tc>
          <w:tcPr>
            <w:tcW w:type="dxa" w:w="3888"/>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Interbranch / Employee / Claims</w:t>
            </w:r>
          </w:p>
        </w:tc>
        <w:tc>
          <w:tcPr>
            <w:tcW w:type="dxa" w:w="1512"/>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163,228</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163,203</w:t>
            </w:r>
          </w:p>
        </w:tc>
        <w:tc>
          <w:tcPr>
            <w:tcW w:type="dxa" w:w="1512"/>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10</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15</w:t>
            </w:r>
          </w:p>
        </w:tc>
        <w:tc>
          <w:tcPr>
            <w:tcW w:type="dxa" w:w="1944"/>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1,710,825</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11, 12, 13</w:t>
            </w:r>
          </w:p>
        </w:tc>
        <w:tc>
          <w:tcPr>
            <w:tcW w:type="dxa" w:w="3888"/>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Export (Mexico / Canada / RoW)</w:t>
            </w:r>
          </w:p>
        </w:tc>
        <w:tc>
          <w:tcPr>
            <w:tcW w:type="dxa" w:w="1512"/>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56,854</w:t>
            </w:r>
          </w:p>
        </w:tc>
        <w:tc>
          <w:tcPr>
            <w:tcW w:type="dxa" w:w="144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55,797</w:t>
            </w:r>
          </w:p>
        </w:tc>
        <w:tc>
          <w:tcPr>
            <w:tcW w:type="dxa" w:w="1512"/>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908</w:t>
            </w:r>
          </w:p>
        </w:tc>
        <w:tc>
          <w:tcPr>
            <w:tcW w:type="dxa" w:w="144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149</w:t>
            </w:r>
          </w:p>
        </w:tc>
        <w:tc>
          <w:tcPr>
            <w:tcW w:type="dxa" w:w="1944"/>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1,081,760</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03</w:t>
            </w:r>
          </w:p>
        </w:tc>
        <w:tc>
          <w:tcPr>
            <w:tcW w:type="dxa" w:w="3888"/>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Utility</w:t>
            </w:r>
          </w:p>
        </w:tc>
        <w:tc>
          <w:tcPr>
            <w:tcW w:type="dxa" w:w="1512"/>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4,310</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4,131</w:t>
            </w:r>
          </w:p>
        </w:tc>
        <w:tc>
          <w:tcPr>
            <w:tcW w:type="dxa" w:w="1512"/>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158</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21</w:t>
            </w:r>
          </w:p>
        </w:tc>
        <w:tc>
          <w:tcPr>
            <w:tcW w:type="dxa" w:w="1944"/>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85,857</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10</w:t>
            </w:r>
          </w:p>
        </w:tc>
        <w:tc>
          <w:tcPr>
            <w:tcW w:type="dxa" w:w="3888"/>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Hospital</w:t>
            </w:r>
          </w:p>
        </w:tc>
        <w:tc>
          <w:tcPr>
            <w:tcW w:type="dxa" w:w="1512"/>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2,367</w:t>
            </w:r>
          </w:p>
        </w:tc>
        <w:tc>
          <w:tcPr>
            <w:tcW w:type="dxa" w:w="144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2,317</w:t>
            </w:r>
          </w:p>
        </w:tc>
        <w:tc>
          <w:tcPr>
            <w:tcW w:type="dxa" w:w="1512"/>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45</w:t>
            </w:r>
          </w:p>
        </w:tc>
        <w:tc>
          <w:tcPr>
            <w:tcW w:type="dxa" w:w="144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5</w:t>
            </w:r>
          </w:p>
        </w:tc>
        <w:tc>
          <w:tcPr>
            <w:tcW w:type="dxa" w:w="1944"/>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31,201</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04</w:t>
            </w:r>
          </w:p>
        </w:tc>
        <w:tc>
          <w:tcPr>
            <w:tcW w:type="dxa" w:w="3888"/>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Railroad</w:t>
            </w:r>
          </w:p>
        </w:tc>
        <w:tc>
          <w:tcPr>
            <w:tcW w:type="dxa" w:w="1512"/>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726</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705</w:t>
            </w:r>
          </w:p>
        </w:tc>
        <w:tc>
          <w:tcPr>
            <w:tcW w:type="dxa" w:w="1512"/>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16</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5</w:t>
            </w:r>
          </w:p>
        </w:tc>
        <w:tc>
          <w:tcPr>
            <w:tcW w:type="dxa" w:w="1944"/>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13,394</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E6ECF4" w:val="clear"/>
          </w:tcPr>
          <w:p>
            <w:pPr>
              <w:spacing w:before="0" w:after="0"/>
              <w:jc w:val="center"/>
            </w:pPr>
            <w:r/>
            <w:r>
              <w:rPr>
                <w:b/>
                <w:color w:val="1A1A1A"/>
                <w:sz w:val="21"/>
              </w:rPr>
              <w:t>—</w:t>
            </w:r>
          </w:p>
        </w:tc>
        <w:tc>
          <w:tcPr>
            <w:tcW w:type="dxa" w:w="3888"/>
            <w:vAlign w:val="center"/>
            <w:tcBorders>
              <w:top w:val="single" w:sz="6" w:color="B0B7C3"/>
              <w:left w:val="single" w:sz="6" w:color="B0B7C3"/>
              <w:bottom w:val="single" w:sz="6" w:color="B0B7C3"/>
              <w:right w:val="single" w:sz="6" w:color="B0B7C3"/>
            </w:tcBorders>
            <w:shd w:fill="E6ECF4" w:val="clear"/>
          </w:tcPr>
          <w:p>
            <w:pPr>
              <w:spacing w:before="0" w:after="0"/>
              <w:jc w:val="center"/>
            </w:pPr>
            <w:r/>
            <w:r>
              <w:rPr>
                <w:b/>
                <w:color w:val="1A1A1A"/>
                <w:sz w:val="21"/>
              </w:rPr>
              <w:t>Not-excluded subtotal</w:t>
            </w:r>
          </w:p>
        </w:tc>
        <w:tc>
          <w:tcPr>
            <w:tcW w:type="dxa" w:w="1512"/>
            <w:vAlign w:val="center"/>
            <w:tcBorders>
              <w:top w:val="single" w:sz="6" w:color="B0B7C3"/>
              <w:left w:val="single" w:sz="6" w:color="B0B7C3"/>
              <w:bottom w:val="single" w:sz="6" w:color="B0B7C3"/>
              <w:right w:val="single" w:sz="6" w:color="B0B7C3"/>
            </w:tcBorders>
            <w:shd w:fill="E6ECF4" w:val="clear"/>
          </w:tcPr>
          <w:p>
            <w:pPr>
              <w:spacing w:before="0" w:after="0"/>
              <w:jc w:val="center"/>
            </w:pPr>
            <w:r/>
            <w:r>
              <w:rPr>
                <w:b/>
                <w:color w:val="1A1A1A"/>
                <w:sz w:val="21"/>
              </w:rPr>
              <w:t>504,765</w:t>
            </w:r>
          </w:p>
        </w:tc>
        <w:tc>
          <w:tcPr>
            <w:tcW w:type="dxa" w:w="1440"/>
            <w:vAlign w:val="center"/>
            <w:tcBorders>
              <w:top w:val="single" w:sz="6" w:color="B0B7C3"/>
              <w:left w:val="single" w:sz="6" w:color="B0B7C3"/>
              <w:bottom w:val="single" w:sz="6" w:color="B0B7C3"/>
              <w:right w:val="single" w:sz="6" w:color="B0B7C3"/>
            </w:tcBorders>
            <w:shd w:fill="E6ECF4" w:val="clear"/>
          </w:tcPr>
          <w:p>
            <w:pPr>
              <w:spacing w:before="0" w:after="0"/>
              <w:jc w:val="center"/>
            </w:pPr>
            <w:r/>
            <w:r>
              <w:rPr>
                <w:b/>
                <w:color w:val="1A1A1A"/>
                <w:sz w:val="21"/>
              </w:rPr>
              <w:t>493,734</w:t>
            </w:r>
          </w:p>
        </w:tc>
        <w:tc>
          <w:tcPr>
            <w:tcW w:type="dxa" w:w="1512"/>
            <w:vAlign w:val="center"/>
            <w:tcBorders>
              <w:top w:val="single" w:sz="6" w:color="B0B7C3"/>
              <w:left w:val="single" w:sz="6" w:color="B0B7C3"/>
              <w:bottom w:val="single" w:sz="6" w:color="B0B7C3"/>
              <w:right w:val="single" w:sz="6" w:color="B0B7C3"/>
            </w:tcBorders>
            <w:shd w:fill="E6ECF4" w:val="clear"/>
          </w:tcPr>
          <w:p>
            <w:pPr>
              <w:spacing w:before="0" w:after="0"/>
              <w:jc w:val="center"/>
            </w:pPr>
            <w:r/>
            <w:r>
              <w:rPr>
                <w:b/>
                <w:color w:val="1A1A1A"/>
                <w:sz w:val="21"/>
              </w:rPr>
              <w:t>9,020</w:t>
            </w:r>
          </w:p>
        </w:tc>
        <w:tc>
          <w:tcPr>
            <w:tcW w:type="dxa" w:w="1440"/>
            <w:vAlign w:val="center"/>
            <w:tcBorders>
              <w:top w:val="single" w:sz="6" w:color="B0B7C3"/>
              <w:left w:val="single" w:sz="6" w:color="B0B7C3"/>
              <w:bottom w:val="single" w:sz="6" w:color="B0B7C3"/>
              <w:right w:val="single" w:sz="6" w:color="B0B7C3"/>
            </w:tcBorders>
            <w:shd w:fill="E6ECF4" w:val="clear"/>
          </w:tcPr>
          <w:p>
            <w:pPr>
              <w:spacing w:before="0" w:after="0"/>
              <w:jc w:val="center"/>
            </w:pPr>
            <w:r/>
            <w:r>
              <w:rPr>
                <w:b/>
                <w:color w:val="1A1A1A"/>
                <w:sz w:val="21"/>
              </w:rPr>
              <w:t>2,011</w:t>
            </w:r>
          </w:p>
        </w:tc>
        <w:tc>
          <w:tcPr>
            <w:tcW w:type="dxa" w:w="1944"/>
            <w:vAlign w:val="center"/>
            <w:tcBorders>
              <w:top w:val="single" w:sz="6" w:color="B0B7C3"/>
              <w:left w:val="single" w:sz="6" w:color="B0B7C3"/>
              <w:bottom w:val="single" w:sz="6" w:color="B0B7C3"/>
              <w:right w:val="single" w:sz="6" w:color="B0B7C3"/>
            </w:tcBorders>
            <w:shd w:fill="E6ECF4" w:val="clear"/>
          </w:tcPr>
          <w:p>
            <w:pPr>
              <w:spacing w:before="0" w:after="0"/>
              <w:jc w:val="center"/>
            </w:pPr>
            <w:r/>
            <w:r>
              <w:rPr>
                <w:b/>
                <w:color w:val="1A1A1A"/>
                <w:sz w:val="21"/>
              </w:rPr>
              <w:t>16,020,865</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E6ECF4" w:val="clear"/>
          </w:tcPr>
          <w:p>
            <w:pPr>
              <w:spacing w:before="0" w:after="0"/>
              <w:jc w:val="center"/>
            </w:pPr>
            <w:r/>
            <w:r>
              <w:rPr>
                <w:b/>
                <w:color w:val="1A1A1A"/>
                <w:sz w:val="21"/>
              </w:rPr>
              <w:t>—</w:t>
            </w:r>
          </w:p>
        </w:tc>
        <w:tc>
          <w:tcPr>
            <w:tcW w:type="dxa" w:w="3888"/>
            <w:vAlign w:val="center"/>
            <w:tcBorders>
              <w:top w:val="single" w:sz="6" w:color="B0B7C3"/>
              <w:left w:val="single" w:sz="6" w:color="B0B7C3"/>
              <w:bottom w:val="single" w:sz="6" w:color="B0B7C3"/>
              <w:right w:val="single" w:sz="6" w:color="B0B7C3"/>
            </w:tcBorders>
            <w:shd w:fill="E6ECF4" w:val="clear"/>
          </w:tcPr>
          <w:p>
            <w:pPr>
              <w:spacing w:before="0" w:after="0"/>
              <w:jc w:val="center"/>
            </w:pPr>
            <w:r/>
            <w:r>
              <w:rPr>
                <w:b/>
                <w:color w:val="1A1A1A"/>
                <w:sz w:val="21"/>
              </w:rPr>
              <w:t>Total</w:t>
            </w:r>
          </w:p>
        </w:tc>
        <w:tc>
          <w:tcPr>
            <w:tcW w:type="dxa" w:w="1512"/>
            <w:vAlign w:val="center"/>
            <w:tcBorders>
              <w:top w:val="single" w:sz="6" w:color="B0B7C3"/>
              <w:left w:val="single" w:sz="6" w:color="B0B7C3"/>
              <w:bottom w:val="single" w:sz="6" w:color="B0B7C3"/>
              <w:right w:val="single" w:sz="6" w:color="B0B7C3"/>
            </w:tcBorders>
            <w:shd w:fill="E6ECF4" w:val="clear"/>
          </w:tcPr>
          <w:p>
            <w:pPr>
              <w:spacing w:before="0" w:after="0"/>
              <w:jc w:val="center"/>
            </w:pPr>
            <w:r/>
            <w:r>
              <w:rPr>
                <w:b/>
                <w:color w:val="1A1A1A"/>
                <w:sz w:val="21"/>
              </w:rPr>
              <w:t>554,765</w:t>
            </w:r>
          </w:p>
        </w:tc>
        <w:tc>
          <w:tcPr>
            <w:tcW w:type="dxa" w:w="1440"/>
            <w:vAlign w:val="center"/>
            <w:tcBorders>
              <w:top w:val="single" w:sz="6" w:color="B0B7C3"/>
              <w:left w:val="single" w:sz="6" w:color="B0B7C3"/>
              <w:bottom w:val="single" w:sz="6" w:color="B0B7C3"/>
              <w:right w:val="single" w:sz="6" w:color="B0B7C3"/>
            </w:tcBorders>
            <w:shd w:fill="E6ECF4" w:val="clear"/>
          </w:tcPr>
          <w:p>
            <w:pPr>
              <w:spacing w:before="0" w:after="0"/>
              <w:jc w:val="center"/>
            </w:pPr>
            <w:r/>
            <w:r>
              <w:rPr>
                <w:b/>
                <w:color w:val="1A1A1A"/>
                <w:sz w:val="21"/>
              </w:rPr>
              <w:t>542,391</w:t>
            </w:r>
          </w:p>
        </w:tc>
        <w:tc>
          <w:tcPr>
            <w:tcW w:type="dxa" w:w="1512"/>
            <w:vAlign w:val="center"/>
            <w:tcBorders>
              <w:top w:val="single" w:sz="6" w:color="B0B7C3"/>
              <w:left w:val="single" w:sz="6" w:color="B0B7C3"/>
              <w:bottom w:val="single" w:sz="6" w:color="B0B7C3"/>
              <w:right w:val="single" w:sz="6" w:color="B0B7C3"/>
            </w:tcBorders>
            <w:shd w:fill="E6ECF4" w:val="clear"/>
          </w:tcPr>
          <w:p>
            <w:pPr>
              <w:spacing w:before="0" w:after="0"/>
              <w:jc w:val="center"/>
            </w:pPr>
            <w:r/>
            <w:r>
              <w:rPr>
                <w:b/>
                <w:color w:val="1A1A1A"/>
                <w:sz w:val="21"/>
              </w:rPr>
              <w:t>10,048</w:t>
            </w:r>
          </w:p>
        </w:tc>
        <w:tc>
          <w:tcPr>
            <w:tcW w:type="dxa" w:w="1440"/>
            <w:vAlign w:val="center"/>
            <w:tcBorders>
              <w:top w:val="single" w:sz="6" w:color="B0B7C3"/>
              <w:left w:val="single" w:sz="6" w:color="B0B7C3"/>
              <w:bottom w:val="single" w:sz="6" w:color="B0B7C3"/>
              <w:right w:val="single" w:sz="6" w:color="B0B7C3"/>
            </w:tcBorders>
            <w:shd w:fill="E6ECF4" w:val="clear"/>
          </w:tcPr>
          <w:p>
            <w:pPr>
              <w:spacing w:before="0" w:after="0"/>
              <w:jc w:val="center"/>
            </w:pPr>
            <w:r/>
            <w:r>
              <w:rPr>
                <w:b/>
                <w:color w:val="1A1A1A"/>
                <w:sz w:val="21"/>
              </w:rPr>
              <w:t>2,326</w:t>
            </w:r>
          </w:p>
        </w:tc>
        <w:tc>
          <w:tcPr>
            <w:tcW w:type="dxa" w:w="1944"/>
            <w:vAlign w:val="center"/>
            <w:tcBorders>
              <w:top w:val="single" w:sz="6" w:color="B0B7C3"/>
              <w:left w:val="single" w:sz="6" w:color="B0B7C3"/>
              <w:bottom w:val="single" w:sz="6" w:color="B0B7C3"/>
              <w:right w:val="single" w:sz="6" w:color="B0B7C3"/>
            </w:tcBorders>
            <w:shd w:fill="E6ECF4" w:val="clear"/>
          </w:tcPr>
          <w:p>
            <w:pPr>
              <w:spacing w:before="0" w:after="0"/>
              <w:jc w:val="center"/>
            </w:pPr>
            <w:r/>
            <w:r>
              <w:rPr>
                <w:b/>
                <w:color w:val="1A1A1A"/>
                <w:sz w:val="21"/>
              </w:rPr>
              <w:t>17,028,786</w:t>
            </w:r>
          </w:p>
        </w:tc>
      </w:tr>
    </w:tbl>
    <w:sectPr w:rsidR="00FC693F" w:rsidRPr="0006063C" w:rsidSect="00034616">
      <w:pgSz w:w="15840" w:h="12240" w:orient="landscape"/>
      <w:pgMar w:top="792" w:right="1080" w:bottom="79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