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2F4A7C"/>
          <w:sz w:val="40"/>
        </w:rPr>
        <w:t>Updating Shipping Location View Rules</w:t>
      </w:r>
    </w:p>
    <w:p>
      <w:pPr>
        <w:spacing w:before="0" w:after="200"/>
        <w:pBdr>
          <w:bottom w:val="single" w:sz="12" w:color="2F4A7C"/>
        </w:pBdr>
      </w:pPr>
      <w:r>
        <w:rPr>
          <w:i w:val="0"/>
          <w:color w:val="555555"/>
          <w:sz w:val="22"/>
        </w:rPr>
        <w:t>Follow-up to the sprint eligibility analysis</w:t>
      </w:r>
    </w:p>
    <w:p>
      <w:pPr>
        <w:spacing w:after="240"/>
      </w:pPr>
      <w:r>
        <w:rPr>
          <w:i/>
          <w:color w:val="888888"/>
          <w:sz w:val="21"/>
        </w:rPr>
        <w:t>[Intro paragraph — one paragraph of McMaster-Carr voice framing the two decisions we are bringing forward: (1) loosening the R1 contact-count threshold, and (2) narrowing the R3 listcode exclusion after evaluating each listcode by contact-count profile.]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56"/>
        <w:gridCol w:w="4176"/>
        <w:gridCol w:w="2592"/>
      </w:tblGrid>
      <w:tr>
        <w:tc>
          <w:tcPr>
            <w:tcW w:type="dxa" w:w="3408"/>
            <w:shd w:fill="E6ECF4" w:val="clear"/>
            <w:tcBorders>
              <w:top w:val="nil"/>
              <w:bottom w:val="nil"/>
              <w:right w:val="nil"/>
            </w:tcBorders>
            <w:tcBorders>
              <w:top w:val="nil"/>
              <w:bottom w:val="nil"/>
              <w:right w:val="nil"/>
              <w:left w:val="single" w:sz="24" w:color="2F4A7C"/>
            </w:tcBorders>
          </w:tcPr>
          <w:p>
            <w:r/>
            <w:r>
              <w:rPr>
                <w:b/>
                <w:color w:val="2F4A7C"/>
                <w:sz w:val="17"/>
              </w:rPr>
              <w:t>STARTING UNIVERSE</w:t>
              <w:br/>
            </w:r>
            <w:r>
              <w:rPr>
                <w:b/>
                <w:color w:val="1A1A1A"/>
                <w:sz w:val="23"/>
              </w:rPr>
              <w:t>566,092 CMFs</w:t>
            </w:r>
          </w:p>
        </w:tc>
        <w:tc>
          <w:tcPr>
            <w:tcW w:type="dxa" w:w="3408"/>
            <w:shd w:fill="E6ECF4" w:val="clear"/>
            <w:tcBorders>
              <w:top w:val="nil"/>
              <w:bottom w:val="nil"/>
              <w:right w:val="nil"/>
            </w:tcBorders>
          </w:tcPr>
          <w:p>
            <w:r/>
            <w:r>
              <w:rPr>
                <w:b/>
                <w:color w:val="2F4A7C"/>
                <w:sz w:val="17"/>
              </w:rPr>
              <w:t>AFTER ACTION 1 · DISTRIBUTOR REMOVED</w:t>
              <w:br/>
            </w:r>
            <w:r>
              <w:rPr>
                <w:b/>
                <w:color w:val="1A1A1A"/>
                <w:sz w:val="23"/>
              </w:rPr>
              <w:t>545,030 CMFs · 16.99M orders</w:t>
            </w:r>
          </w:p>
        </w:tc>
        <w:tc>
          <w:tcPr>
            <w:tcW w:type="dxa" w:w="3408"/>
            <w:shd w:fill="E6ECF4" w:val="clear"/>
            <w:tcBorders>
              <w:top w:val="nil"/>
              <w:bottom w:val="nil"/>
              <w:right w:val="nil"/>
            </w:tcBorders>
          </w:tcPr>
          <w:p>
            <w:r/>
            <w:r>
              <w:rPr>
                <w:b/>
                <w:color w:val="2F4A7C"/>
                <w:sz w:val="17"/>
              </w:rPr>
              <w:t>WINDOW</w:t>
              <w:br/>
            </w:r>
            <w:r>
              <w:rPr>
                <w:b/>
                <w:color w:val="1A1A1A"/>
                <w:sz w:val="23"/>
              </w:rPr>
              <w:t>3/12/2025 – 3/12/2026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2F4A7C"/>
          <w:sz w:val="27"/>
        </w:rPr>
        <w:t>1. R1 Threshold Sensitivity</w:t>
      </w:r>
    </w:p>
    <w:p>
      <w:pPr>
        <w:spacing w:before="0" w:after="160"/>
      </w:pPr>
      <w:r>
        <w:rPr>
          <w:color w:val="555555"/>
          <w:sz w:val="21"/>
        </w:rPr>
        <w:t>R1 currently excludes CMFs with 10 or more active ordering contacts. Cumulative view shows what each step-up admits; the final row is the residual tail that stays out even at threshold 50.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16"/>
        <w:gridCol w:w="1656"/>
        <w:gridCol w:w="1080"/>
        <w:gridCol w:w="2160"/>
        <w:gridCol w:w="1944"/>
        <w:gridCol w:w="1224"/>
      </w:tblGrid>
      <w:tr>
        <w:trPr>
          <w:trHeight w:val="520" w:hRule="atLeast"/>
        </w:trPr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19"/>
              </w:rPr>
              <w:t>Threshold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9"/>
              </w:rPr>
              <w:t>Eligible CMFs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9"/>
              </w:rPr>
              <w:t>% CMFs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9"/>
              </w:rPr>
              <w:t>Eligible Orders</w:t>
              <w:br/>
              <w:t>(cumulative)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9"/>
              </w:rPr>
              <w:t>Marginal Orders (Δ)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9"/>
              </w:rPr>
              <w:t>% of Orders</w:t>
            </w:r>
          </w:p>
        </w:tc>
      </w:tr>
      <w:tr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20"/>
              </w:rPr>
              <w:t>10 (current)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532,692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97.7%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12,696,477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2F4A7C"/>
                <w:sz w:val="20"/>
              </w:rPr>
              <w:t>baseline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74.8%</w:t>
            </w:r>
          </w:p>
        </w:tc>
      </w:tr>
      <w:tr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20"/>
              </w:rPr>
              <w:t>12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536,042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98.4%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13,207,047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2F4A7C"/>
                <w:sz w:val="20"/>
              </w:rPr>
              <w:t>+510,570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77.8%</w:t>
            </w:r>
          </w:p>
        </w:tc>
      </w:tr>
      <w:tr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20"/>
              </w:rPr>
              <w:t>15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538,906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98.9%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13,717,234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2F4A7C"/>
                <w:sz w:val="20"/>
              </w:rPr>
              <w:t>+510,187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80.8%</w:t>
            </w:r>
          </w:p>
        </w:tc>
      </w:tr>
      <w:tr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20"/>
              </w:rPr>
              <w:t>20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541,297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99.3%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14,226,992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2F4A7C"/>
                <w:sz w:val="20"/>
              </w:rPr>
              <w:t>+509,758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83.8%</w:t>
            </w:r>
          </w:p>
        </w:tc>
      </w:tr>
      <w:tr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20"/>
              </w:rPr>
              <w:t>25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542,518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99.5%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14,554,315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2F4A7C"/>
                <w:sz w:val="20"/>
              </w:rPr>
              <w:t>+327,323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85.7%</w:t>
            </w:r>
          </w:p>
        </w:tc>
      </w:tr>
      <w:tr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20"/>
              </w:rPr>
              <w:t>50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544,279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99.9%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15,232,307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2F4A7C"/>
                <w:sz w:val="20"/>
              </w:rPr>
              <w:t>+678,000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89.7%</w:t>
            </w:r>
          </w:p>
        </w:tc>
      </w:tr>
      <w:tr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left"/>
            </w:pPr>
            <w:r/>
            <w:r>
              <w:rPr>
                <w:b/>
                <w:i w:val="0"/>
                <w:color w:val="1A1A1A"/>
                <w:sz w:val="20"/>
              </w:rPr>
              <w:t>50+ (stays out)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751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0.1%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—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1,752,777</w:t>
            </w:r>
          </w:p>
        </w:tc>
        <w:tc>
          <w:tcPr>
            <w:tcW w:type="dxa" w:w="1704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20"/>
              </w:rPr>
              <w:t>10.3%</w:t>
            </w:r>
          </w:p>
        </w:tc>
      </w:tr>
    </w:tbl>
    <w:p>
      <w:pPr>
        <w:spacing w:after="120"/>
      </w:pPr>
      <w:r>
        <w:rPr>
          <w:i/>
          <w:color w:val="888888"/>
          <w:sz w:val="19"/>
        </w:rPr>
        <w:t>Density climbs at every step (152 → 178 → 213 → 268 → 385 orders per added CMF). The 751 CMFs above 50 contacts still cover 10% of orders — they will never qualify on contact count alone.</w:t>
      </w:r>
    </w:p>
    <w:p>
      <w:pPr>
        <w:spacing w:before="240" w:after="80"/>
      </w:pPr>
      <w:r>
        <w:rPr>
          <w:b/>
          <w:color w:val="2F4A7C"/>
          <w:sz w:val="27"/>
        </w:rPr>
        <w:t>2. R3 Listcodes · CMFs and Orders by Contact-Count Range</w:t>
      </w:r>
    </w:p>
    <w:p>
      <w:pPr>
        <w:spacing w:before="0" w:after="160"/>
      </w:pPr>
      <w:r>
        <w:rPr>
          <w:color w:val="555555"/>
          <w:sz w:val="21"/>
        </w:rPr>
        <w:t>For each R3-excluded listcode, CMFs and orders split by active-contact range: &lt;10 would already pass R1, 10–25 is the recoverable middle, 25+ is the never-eligible tail. Distributor removed per Action 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648"/>
        <w:gridCol w:w="2304"/>
        <w:gridCol w:w="864"/>
        <w:gridCol w:w="792"/>
        <w:gridCol w:w="864"/>
        <w:gridCol w:w="792"/>
        <w:gridCol w:w="1080"/>
        <w:gridCol w:w="936"/>
        <w:gridCol w:w="1008"/>
        <w:gridCol w:w="936"/>
      </w:tblGrid>
      <w:tr>
        <w:trPr>
          <w:trHeight w:val="600" w:hRule="atLeast"/>
        </w:trPr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17"/>
              </w:rPr>
              <w:t>Listcode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17"/>
              </w:rPr>
              <w:t>Category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7"/>
              </w:rPr>
              <w:t>Total</w:t>
              <w:br/>
              <w:t>CMFs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7"/>
              </w:rPr>
              <w:t>CMFs</w:t>
              <w:br/>
              <w:t>&lt;10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7"/>
              </w:rPr>
              <w:t>CMFs</w:t>
              <w:br/>
              <w:t>10–25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7"/>
              </w:rPr>
              <w:t>CMFs</w:t>
              <w:br/>
              <w:t>25+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7"/>
              </w:rPr>
              <w:t>Total</w:t>
              <w:br/>
              <w:t>Orders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7"/>
              </w:rPr>
              <w:t>Orders</w:t>
              <w:br/>
              <w:t>&lt;10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7"/>
              </w:rPr>
              <w:t>Orders</w:t>
              <w:br/>
              <w:t>10–25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2F4A7C" w:val="clear"/>
          </w:tcPr>
          <w:p>
            <w:pPr>
              <w:jc w:val="right"/>
            </w:pPr>
            <w:r/>
            <w:r>
              <w:rPr>
                <w:b/>
                <w:i w:val="0"/>
                <w:color w:val="FFFFFF"/>
                <w:sz w:val="17"/>
              </w:rPr>
              <w:t>Orders</w:t>
              <w:br/>
              <w:t>25+</w:t>
            </w:r>
          </w:p>
        </w:tc>
      </w:tr>
      <w:tr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05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Federal Gov (Domestic)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3,032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2,924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87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21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58,169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23,278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11,401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23,490</w:t>
            </w:r>
          </w:p>
        </w:tc>
      </w:tr>
      <w:tr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06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Federal Gov (APO/FPO)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186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185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786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705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81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0</w:t>
            </w:r>
          </w:p>
        </w:tc>
      </w:tr>
      <w:tr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07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State Gov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6,798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6,282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382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134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184,911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86,816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43,295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54,800</w:t>
            </w:r>
          </w:p>
        </w:tc>
      </w:tr>
      <w:tr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08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Municipal / Private Institute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16,009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15,787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176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46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222,199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151,639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22,623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6F7FA" w:val="clear"/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47,937</w:t>
            </w:r>
          </w:p>
        </w:tc>
      </w:tr>
      <w:tr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09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Private College / University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2,423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2,160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171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92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112,332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32,102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17,286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</w:tcPr>
          <w:p>
            <w:pPr>
              <w:jc w:val="right"/>
            </w:pPr>
            <w:r/>
            <w:r>
              <w:rPr>
                <w:b w:val="0"/>
                <w:i w:val="0"/>
                <w:color w:val="1A1A1A"/>
                <w:sz w:val="18"/>
              </w:rPr>
              <w:t>62,944</w:t>
            </w:r>
          </w:p>
        </w:tc>
      </w:tr>
      <w:tr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15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left"/>
            </w:pPr>
            <w:r/>
            <w:r>
              <w:rPr>
                <w:b/>
                <w:i w:val="0"/>
                <w:color w:val="1A1A1A"/>
                <w:sz w:val="18"/>
              </w:rPr>
              <w:t>McMaster-Carr internal (excluded)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42,130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42,130</w:t>
            </w:r>
          </w:p>
        </w:tc>
      </w:tr>
      <w:tr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left"/>
            </w:pPr>
            <w:r/>
            <w:r>
              <w:rPr>
                <w:b w:val="0"/>
                <w:i w:val="0"/>
                <w:color w:val="1A1A1A"/>
                <w:sz w:val="18"/>
              </w:rPr>
              <w:t>—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left"/>
            </w:pPr>
            <w:r/>
            <w:r>
              <w:rPr>
                <w:b/>
                <w:i w:val="0"/>
                <w:color w:val="1A1A1A"/>
                <w:sz w:val="18"/>
              </w:rPr>
              <w:t>R3 TOTAL (ex-distributor)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28,453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27,338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817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298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620,527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294,540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94,686</w:t>
            </w:r>
          </w:p>
        </w:tc>
        <w:tc>
          <w:tcPr>
            <w:tcW w:type="dxa" w:w="1022"/>
            <w:vAlign w:val="center"/>
            <w:tcBorders>
              <w:top w:val="single" w:sz="6" w:color="B0B7C3"/>
              <w:left w:val="single" w:sz="6" w:color="B0B7C3"/>
              <w:bottom w:val="single" w:sz="6" w:color="B0B7C3"/>
              <w:right w:val="single" w:sz="6" w:color="B0B7C3"/>
            </w:tcBorders>
            <w:shd w:fill="FDF3D3" w:val="clear"/>
          </w:tcPr>
          <w:p>
            <w:pPr>
              <w:jc w:val="right"/>
            </w:pPr>
            <w:r/>
            <w:r>
              <w:rPr>
                <w:b/>
                <w:i w:val="0"/>
                <w:color w:val="1A1A1A"/>
                <w:sz w:val="18"/>
              </w:rPr>
              <w:t>231,301</w:t>
            </w:r>
          </w:p>
        </w:tc>
      </w:tr>
    </w:tbl>
    <w:p>
      <w:pPr>
        <w:spacing w:after="40"/>
      </w:pPr>
      <w:r>
        <w:rPr>
          <w:i/>
          <w:color w:val="888888"/>
          <w:sz w:val="19"/>
        </w:rPr>
        <w:t>96% of R3-excluded CMFs are already R1-eligible (&lt;10 contacts) but carry only 48% of the blocked orders. The 25+ tail — under 300 CMFs — carries 231K orders. Listcode 15 is 100% in the 25+ bucket because it is McMaster-Carr's own five branches (500–1,700 employees each).</w:t>
      </w:r>
    </w:p>
    <w:p>
      <w:pPr>
        <w:spacing w:before="120"/>
      </w:pPr>
    </w:p>
    <w:p>
      <w:pPr>
        <w:pBdr>
          <w:top w:val="single" w:sz="4" w:color="C8C2B0"/>
        </w:pBdr>
      </w:pPr>
      <w:r>
        <w:rPr>
          <w:i/>
          <w:color w:val="888888"/>
          <w:sz w:val="18"/>
        </w:rPr>
        <w:t>Source: secure.order_source · Universe: CMFs that placed ≥1 order in window · ex-three shared credit-card CMFs · Contact counts and listcodes as of 12-month window.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