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Prepacks</w:t>
      </w:r>
    </w:p>
    <w:p>
      <w:pPr>
        <w:spacing w:after="280"/>
      </w:pPr>
      <w:r>
        <w:rPr>
          <w:i/>
          <w:sz w:val="22"/>
        </w:rPr>
        <w:t>January 21 – May 28, 2026   |   172 customer scans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lean toward small shops,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before="0" w:after="80"/>
      </w:pPr>
      <w:r>
        <w:rPr>
          <w:b w:val="0"/>
          <w:i w:val="0"/>
          <w:sz w:val="22"/>
        </w:rPr>
        <w:t>Every Prepack QR code points to a McMaster.com URL that follows the same format — the part number followed by a short tag (mode=qr&amp;codeid=4) we can search on.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Before counting, we removed internal scans — test devices and McMaster-Carr office IPs used to verify the codes —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grew steadily through the spring.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who scan a QR code aren't logged in at the moment of the scan, so we don't get a clean customer ID for free. To work around this, we matched scans to known customers using three signals: the visitor ID stored in their browser, the session ID McMaster tracks for that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Roughly half — 90 of the 172 scans — matched to a known customer this way. Most were small fabrication shops and credit-card buyers. The other half were first-time mobile visitors with no prior account history, or came from residential carrier IPs we couldn't tie to a specific account.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further interaction — typical behavior for QR codes in physical environments, where curious or accidental scans happen often.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sibling parts, and revisited the scanned product.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about 60% iPhone, 40% Android. The remaining 8% came from desktop browsers, typically a customer scanning into their phone and then continuing on a workstation.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Most parts (98 of the 127, or roughly three-quarters) were scanned only once. The parts scanned more than once are the clearest signal that the Prepack QR program is doing what we hoped — landing on a shop floor, getting used to reorder.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are roughly five times higher in May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are exactly who we hoped to reach — small shops and credit-card buyers reordering specific parts.</w:t>
      </w:r>
    </w:p>
    <w:p>
      <w:pPr>
        <w:pStyle w:val="ListBullet"/>
        <w:spacing w:after="40"/>
      </w:pPr>
      <w:r>
        <w:rPr>
          <w:sz w:val="22"/>
        </w:rPr>
        <w:t>Most scans are short, which is normal for physical QR codes. The 31% who engage show real purchase intent.</w:t>
      </w:r>
    </w:p>
    <w:p>
      <w:pPr>
        <w:pStyle w:val="ListBullet"/>
        <w:spacing w:after="40"/>
      </w:pPr>
      <w:r>
        <w:rPr>
          <w:sz w:val="22"/>
        </w:rPr>
        <w:t>The 29 parts scanned more than once tell us where the codes are being used most. These are good candidates for follow-up — better labeling, better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