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8686800" cy="6712527"/>
            <wp:docPr id="1" name="Picture 1"/>
            <wp:cNvGraphicFramePr>
              <a:graphicFrameLocks noChangeAspect="1"/>
            </wp:cNvGraphicFramePr>
            <a:graphic>
              <a:graphicData uri="http://schemas.openxmlformats.org/drawingml/2006/picture">
                <pic:pic>
                  <pic:nvPicPr>
                    <pic:cNvPr id="0" name="slv_eligibility_page1.png"/>
                    <pic:cNvPicPr/>
                  </pic:nvPicPr>
                  <pic:blipFill>
                    <a:blip r:embed="rId9"/>
                    <a:stretch>
                      <a:fillRect/>
                    </a:stretch>
                  </pic:blipFill>
                  <pic:spPr>
                    <a:xfrm>
                      <a:off x="0" y="0"/>
                      <a:ext cx="8686800" cy="6712527"/>
                    </a:xfrm>
                    <a:prstGeom prst="rect"/>
                  </pic:spPr>
                </pic:pic>
              </a:graphicData>
            </a:graphic>
          </wp:inline>
        </w:drawing>
      </w:r>
    </w:p>
    <w:p>
      <w:r>
        <w:br w:type="page"/>
      </w:r>
    </w:p>
    <w:p>
      <w:pPr>
        <w:spacing w:after="240"/>
        <w:pBdr>
          <w:bottom w:val="single" w:sz="8" w:color="2F4A7C"/>
        </w:pBdr>
      </w:pPr>
      <w:r>
        <w:rPr>
          <w:b/>
          <w:color w:val="2F4A7C"/>
          <w:sz w:val="40"/>
        </w:rPr>
        <w:t>Updating Shipping Location View Rules</w:t>
      </w:r>
    </w:p>
    <w:p>
      <w:pPr>
        <w:spacing w:after="280"/>
      </w:pPr>
      <w:r>
        <w:rPr>
          <w:sz w:val="22"/>
        </w:rPr>
        <w:t>We introduced Shipping Location View in 2017 to let coworkers at the same shipping location see one another’s order history. Since then, we have seen the reordering benefits from customers with shared order history and purple links. The eligibility rules have not been revisited. This is an opportunity to revisit the combination of rules as a starting point to extend the benefit to more of our customers.</w:t>
      </w:r>
    </w:p>
    <w:p>
      <w:pPr>
        <w:spacing w:before="40" w:after="80"/>
      </w:pPr>
      <w:r>
        <w:rPr>
          <w:b/>
          <w:color w:val="2F4A7C"/>
          <w:sz w:val="28"/>
        </w:rPr>
        <w:t>1. Raising the Contact-Count Threshold</w:t>
      </w:r>
    </w:p>
    <w:p>
      <w:pPr>
        <w:spacing w:after="120"/>
      </w:pPr>
      <w:r>
        <w:rPr>
          <w:sz w:val="22"/>
        </w:rPr>
        <w:t>The current rule excludes any shipping location with 10 or more active ordering contacts. The table below shows how many shipping locations and orders would qualify at each higher threshold.</w:t>
      </w:r>
    </w:p>
    <w:tbl>
      <w:tblPr>
        <w:tblW w:type="auto" w:w="0"/>
        <w:jc w:val="left"/>
        <w:tblLook w:firstColumn="1" w:firstRow="1" w:lastColumn="0" w:lastRow="0" w:noHBand="0" w:noVBand="1" w:val="04A0"/>
        <w:tblBorders>
          <w:top w:val="single" w:sz="12" w:color="4A4A4A"/>
          <w:left w:val="single" w:sz="12" w:color="4A4A4A"/>
          <w:bottom w:val="single" w:sz="12" w:color="4A4A4A"/>
          <w:right w:val="single" w:sz="12" w:color="4A4A4A"/>
        </w:tblBorders>
      </w:tblPr>
      <w:tblGrid>
        <w:gridCol w:w="2160"/>
        <w:gridCol w:w="2016"/>
        <w:gridCol w:w="1440"/>
        <w:gridCol w:w="2880"/>
        <w:gridCol w:w="2448"/>
        <w:gridCol w:w="1584"/>
      </w:tblGrid>
      <w:tr>
        <w:trPr>
          <w:trHeight w:val="440" w:hRule="atLeast"/>
        </w:trPr>
        <w:tc>
          <w:tcPr>
            <w:tcW w:type="dxa" w:w="2160"/>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Threshold</w:t>
            </w:r>
          </w:p>
        </w:tc>
        <w:tc>
          <w:tcPr>
            <w:tcW w:type="dxa" w:w="2016"/>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CMFs</w:t>
            </w:r>
          </w:p>
        </w:tc>
        <w:tc>
          <w:tcPr>
            <w:tcW w:type="dxa" w:w="1440"/>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 of CMFs</w:t>
            </w:r>
          </w:p>
        </w:tc>
        <w:tc>
          <w:tcPr>
            <w:tcW w:type="dxa" w:w="2880"/>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Orders</w:t>
            </w:r>
          </w:p>
        </w:tc>
        <w:tc>
          <w:tcPr>
            <w:tcW w:type="dxa" w:w="2448"/>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Marginal Orders (Δ)</w:t>
            </w:r>
          </w:p>
        </w:tc>
        <w:tc>
          <w:tcPr>
            <w:tcW w:type="dxa" w:w="1584"/>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 of Orders</w:t>
            </w:r>
          </w:p>
        </w:tc>
      </w:tr>
      <w:tr>
        <w:trPr>
          <w:trHeight w:val="400" w:hRule="atLeast"/>
        </w:trPr>
        <w:tc>
          <w:tcPr>
            <w:tcW w:type="dxa" w:w="216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10 (current)</w:t>
            </w:r>
          </w:p>
        </w:tc>
        <w:tc>
          <w:tcPr>
            <w:tcW w:type="dxa" w:w="2016"/>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532,692</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96.0%</w:t>
            </w:r>
          </w:p>
        </w:tc>
        <w:tc>
          <w:tcPr>
            <w:tcW w:type="dxa" w:w="288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12,696,477</w:t>
            </w:r>
          </w:p>
        </w:tc>
        <w:tc>
          <w:tcPr>
            <w:tcW w:type="dxa" w:w="2448"/>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w:t>
            </w:r>
          </w:p>
        </w:tc>
        <w:tc>
          <w:tcPr>
            <w:tcW w:type="dxa" w:w="1584"/>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74.6%</w:t>
            </w:r>
          </w:p>
        </w:tc>
      </w:tr>
      <w:tr>
        <w:trPr>
          <w:trHeight w:val="400" w:hRule="atLeast"/>
        </w:trPr>
        <w:tc>
          <w:tcPr>
            <w:tcW w:type="dxa" w:w="216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12</w:t>
            </w:r>
          </w:p>
        </w:tc>
        <w:tc>
          <w:tcPr>
            <w:tcW w:type="dxa" w:w="2016"/>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536,042</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96.6%</w:t>
            </w:r>
          </w:p>
        </w:tc>
        <w:tc>
          <w:tcPr>
            <w:tcW w:type="dxa" w:w="288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13,207,047</w:t>
            </w:r>
          </w:p>
        </w:tc>
        <w:tc>
          <w:tcPr>
            <w:tcW w:type="dxa" w:w="2448"/>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+510,570</w:t>
            </w:r>
          </w:p>
        </w:tc>
        <w:tc>
          <w:tcPr>
            <w:tcW w:type="dxa" w:w="1584"/>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77.6%</w:t>
            </w:r>
          </w:p>
        </w:tc>
      </w:tr>
      <w:tr>
        <w:trPr>
          <w:trHeight w:val="400" w:hRule="atLeast"/>
        </w:trPr>
        <w:tc>
          <w:tcPr>
            <w:tcW w:type="dxa" w:w="216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15</w:t>
            </w:r>
          </w:p>
        </w:tc>
        <w:tc>
          <w:tcPr>
            <w:tcW w:type="dxa" w:w="2016"/>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538,906</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97.1%</w:t>
            </w:r>
          </w:p>
        </w:tc>
        <w:tc>
          <w:tcPr>
            <w:tcW w:type="dxa" w:w="288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13,717,234</w:t>
            </w:r>
          </w:p>
        </w:tc>
        <w:tc>
          <w:tcPr>
            <w:tcW w:type="dxa" w:w="2448"/>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+510,187</w:t>
            </w:r>
          </w:p>
        </w:tc>
        <w:tc>
          <w:tcPr>
            <w:tcW w:type="dxa" w:w="1584"/>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80.6%</w:t>
            </w:r>
          </w:p>
        </w:tc>
      </w:tr>
      <w:tr>
        <w:trPr>
          <w:trHeight w:val="400" w:hRule="atLeast"/>
        </w:trPr>
        <w:tc>
          <w:tcPr>
            <w:tcW w:type="dxa" w:w="216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20</w:t>
            </w:r>
          </w:p>
        </w:tc>
        <w:tc>
          <w:tcPr>
            <w:tcW w:type="dxa" w:w="2016"/>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541,297</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97.6%</w:t>
            </w:r>
          </w:p>
        </w:tc>
        <w:tc>
          <w:tcPr>
            <w:tcW w:type="dxa" w:w="288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14,226,992</w:t>
            </w:r>
          </w:p>
        </w:tc>
        <w:tc>
          <w:tcPr>
            <w:tcW w:type="dxa" w:w="2448"/>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+509,758</w:t>
            </w:r>
          </w:p>
        </w:tc>
        <w:tc>
          <w:tcPr>
            <w:tcW w:type="dxa" w:w="1584"/>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83.6%</w:t>
            </w:r>
          </w:p>
        </w:tc>
      </w:tr>
      <w:tr>
        <w:trPr>
          <w:trHeight w:val="400" w:hRule="atLeast"/>
        </w:trPr>
        <w:tc>
          <w:tcPr>
            <w:tcW w:type="dxa" w:w="216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25</w:t>
            </w:r>
          </w:p>
        </w:tc>
        <w:tc>
          <w:tcPr>
            <w:tcW w:type="dxa" w:w="2016"/>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542,518</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97.8%</w:t>
            </w:r>
          </w:p>
        </w:tc>
        <w:tc>
          <w:tcPr>
            <w:tcW w:type="dxa" w:w="288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14,554,315</w:t>
            </w:r>
          </w:p>
        </w:tc>
        <w:tc>
          <w:tcPr>
            <w:tcW w:type="dxa" w:w="2448"/>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+327,323</w:t>
            </w:r>
          </w:p>
        </w:tc>
        <w:tc>
          <w:tcPr>
            <w:tcW w:type="dxa" w:w="1584"/>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85.5%</w:t>
            </w:r>
          </w:p>
        </w:tc>
      </w:tr>
      <w:tr>
        <w:trPr>
          <w:trHeight w:val="400" w:hRule="atLeast"/>
        </w:trPr>
        <w:tc>
          <w:tcPr>
            <w:tcW w:type="dxa" w:w="216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50</w:t>
            </w:r>
          </w:p>
        </w:tc>
        <w:tc>
          <w:tcPr>
            <w:tcW w:type="dxa" w:w="2016"/>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544,279</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98.1%</w:t>
            </w:r>
          </w:p>
        </w:tc>
        <w:tc>
          <w:tcPr>
            <w:tcW w:type="dxa" w:w="288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15,232,307</w:t>
            </w:r>
          </w:p>
        </w:tc>
        <w:tc>
          <w:tcPr>
            <w:tcW w:type="dxa" w:w="2448"/>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+678,000</w:t>
            </w:r>
          </w:p>
        </w:tc>
        <w:tc>
          <w:tcPr>
            <w:tcW w:type="dxa" w:w="1584"/>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89.5%</w:t>
            </w:r>
          </w:p>
        </w:tc>
      </w:tr>
      <w:tr>
        <w:trPr>
          <w:trHeight w:val="400" w:hRule="atLeast"/>
        </w:trPr>
        <w:tc>
          <w:tcPr>
            <w:tcW w:type="dxa" w:w="216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Above 50</w:t>
            </w:r>
          </w:p>
        </w:tc>
        <w:tc>
          <w:tcPr>
            <w:tcW w:type="dxa" w:w="2016"/>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554,765</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100.0%</w:t>
            </w:r>
          </w:p>
        </w:tc>
        <w:tc>
          <w:tcPr>
            <w:tcW w:type="dxa" w:w="288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17,028,786</w:t>
            </w:r>
          </w:p>
        </w:tc>
        <w:tc>
          <w:tcPr>
            <w:tcW w:type="dxa" w:w="2448"/>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+1,796,479</w:t>
            </w:r>
          </w:p>
        </w:tc>
        <w:tc>
          <w:tcPr>
            <w:tcW w:type="dxa" w:w="1584"/>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100.0%</w:t>
            </w:r>
          </w:p>
        </w:tc>
      </w:tr>
    </w:tbl>
    <w:p>
      <w:pPr>
        <w:spacing w:before="320" w:after="80"/>
      </w:pPr>
      <w:r>
        <w:rPr>
          <w:b/>
          <w:color w:val="2F4A7C"/>
          <w:sz w:val="28"/>
        </w:rPr>
        <w:t>2. List Codes by Contact Count</w:t>
      </w:r>
    </w:p>
    <w:p>
      <w:pPr>
        <w:spacing w:after="120"/>
      </w:pPr>
      <w:r>
        <w:rPr>
          <w:sz w:val="22"/>
        </w:rPr>
        <w:t>Every list code, split by active-contact range (fewer than 10, 10–25, or 25 or more). The highlighted rows are the list codes excluded from Shipping Location View.</w:t>
      </w:r>
    </w:p>
    <w:tbl>
      <w:tblPr>
        <w:tblW w:type="auto" w:w="0"/>
        <w:jc w:val="left"/>
        <w:tblLook w:firstColumn="1" w:firstRow="1" w:lastColumn="0" w:lastRow="0" w:noHBand="0" w:noVBand="1" w:val="04A0"/>
        <w:tblBorders>
          <w:top w:val="single" w:sz="12" w:color="4A4A4A"/>
          <w:left w:val="single" w:sz="12" w:color="4A4A4A"/>
          <w:bottom w:val="single" w:sz="12" w:color="4A4A4A"/>
          <w:right w:val="single" w:sz="12" w:color="4A4A4A"/>
        </w:tblBorders>
      </w:tblPr>
      <w:tblGrid>
        <w:gridCol w:w="1296"/>
        <w:gridCol w:w="3888"/>
        <w:gridCol w:w="1512"/>
        <w:gridCol w:w="1440"/>
        <w:gridCol w:w="1512"/>
        <w:gridCol w:w="1440"/>
        <w:gridCol w:w="1944"/>
      </w:tblGrid>
      <w:tr>
        <w:trPr>
          <w:trHeight w:val="440" w:hRule="atLeast"/>
        </w:trPr>
        <w:tc>
          <w:tcPr>
            <w:tcW w:type="dxa" w:w="1296"/>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List Code</w:t>
            </w:r>
          </w:p>
        </w:tc>
        <w:tc>
          <w:tcPr>
            <w:tcW w:type="dxa" w:w="3888"/>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Category</w:t>
            </w:r>
          </w:p>
        </w:tc>
        <w:tc>
          <w:tcPr>
            <w:tcW w:type="dxa" w:w="1512"/>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Total CMFs</w:t>
            </w:r>
          </w:p>
        </w:tc>
        <w:tc>
          <w:tcPr>
            <w:tcW w:type="dxa" w:w="1440"/>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CMFs &lt;10</w:t>
            </w:r>
          </w:p>
        </w:tc>
        <w:tc>
          <w:tcPr>
            <w:tcW w:type="dxa" w:w="1512"/>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CMFs 10–25</w:t>
            </w:r>
          </w:p>
        </w:tc>
        <w:tc>
          <w:tcPr>
            <w:tcW w:type="dxa" w:w="1440"/>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CMFs 25+</w:t>
            </w:r>
          </w:p>
        </w:tc>
        <w:tc>
          <w:tcPr>
            <w:tcW w:type="dxa" w:w="1944"/>
            <w:vAlign w:val="center"/>
            <w:tcBorders>
              <w:top w:val="single" w:sz="6" w:color="B0B7C3"/>
              <w:left w:val="single" w:sz="6" w:color="B0B7C3"/>
              <w:bottom w:val="single" w:sz="6" w:color="B0B7C3"/>
              <w:right w:val="single" w:sz="6" w:color="B0B7C3"/>
            </w:tcBorders>
            <w:shd w:fill="2F4A7C" w:val="clear"/>
          </w:tcPr>
          <w:p>
            <w:pPr>
              <w:spacing w:before="0" w:after="0"/>
              <w:jc w:val="center"/>
            </w:pPr>
            <w:r/>
            <w:r>
              <w:rPr>
                <w:b/>
                <w:color w:val="FFFFFF"/>
                <w:sz w:val="21"/>
              </w:rPr>
              <w:t>Total Orders</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05</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Federal Gov (Domestic)</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3,032</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2,924</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87</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21</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58,169</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06</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Federal Gov (APO/FPO)</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186</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185</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786</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07</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State Gov</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6,798</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6,282</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382</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134</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184,911</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08</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Municipal / Private Institute</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16,009</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15,787</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176</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46</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222,199</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09</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Private College / University</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2,423</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2,160</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171</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92</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112,332</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15</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McMaster-Carr Internal</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5</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0</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5</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42,130</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97</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Distributor</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21,547</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21,319</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211</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17</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val="0"/>
                <w:color w:val="1A1A1A"/>
                <w:sz w:val="21"/>
              </w:rPr>
              <w:t>387,394</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color w:val="1A1A1A"/>
                <w:sz w:val="21"/>
              </w:rPr>
              <w:t>—</w:t>
            </w:r>
          </w:p>
        </w:tc>
        <w:tc>
          <w:tcPr>
            <w:tcW w:type="dxa" w:w="3888"/>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color w:val="1A1A1A"/>
                <w:sz w:val="21"/>
              </w:rPr>
              <w:t>Excluded subtotal</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color w:val="1A1A1A"/>
                <w:sz w:val="21"/>
              </w:rPr>
              <w:t>50,000</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color w:val="1A1A1A"/>
                <w:sz w:val="21"/>
              </w:rPr>
              <w:t>48,657</w:t>
            </w:r>
          </w:p>
        </w:tc>
        <w:tc>
          <w:tcPr>
            <w:tcW w:type="dxa" w:w="1512"/>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color w:val="1A1A1A"/>
                <w:sz w:val="21"/>
              </w:rPr>
              <w:t>1,028</w:t>
            </w:r>
          </w:p>
        </w:tc>
        <w:tc>
          <w:tcPr>
            <w:tcW w:type="dxa" w:w="1440"/>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color w:val="1A1A1A"/>
                <w:sz w:val="21"/>
              </w:rPr>
              <w:t>315</w:t>
            </w:r>
          </w:p>
        </w:tc>
        <w:tc>
          <w:tcPr>
            <w:tcW w:type="dxa" w:w="1944"/>
            <w:vAlign w:val="center"/>
            <w:tcBorders>
              <w:top w:val="single" w:sz="6" w:color="B0B7C3"/>
              <w:left w:val="single" w:sz="6" w:color="B0B7C3"/>
              <w:bottom w:val="single" w:sz="6" w:color="B0B7C3"/>
              <w:right w:val="single" w:sz="6" w:color="B0B7C3"/>
            </w:tcBorders>
            <w:shd w:fill="FDF3D3" w:val="clear"/>
          </w:tcPr>
          <w:p>
            <w:pPr>
              <w:spacing w:before="0" w:after="0"/>
              <w:jc w:val="center"/>
            </w:pPr>
            <w:r/>
            <w:r>
              <w:rPr>
                <w:b/>
                <w:color w:val="1A1A1A"/>
                <w:sz w:val="21"/>
              </w:rPr>
              <w:t>1,007,921</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01, 02</w:t>
            </w:r>
          </w:p>
        </w:tc>
        <w:tc>
          <w:tcPr>
            <w:tcW w:type="dxa" w:w="3888"/>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Regular / National</w:t>
            </w:r>
          </w:p>
        </w:tc>
        <w:tc>
          <w:tcPr>
            <w:tcW w:type="dxa" w:w="1512"/>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277,280</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267,581</w:t>
            </w:r>
          </w:p>
        </w:tc>
        <w:tc>
          <w:tcPr>
            <w:tcW w:type="dxa" w:w="1512"/>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7,883</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1,816</w:t>
            </w:r>
          </w:p>
        </w:tc>
        <w:tc>
          <w:tcPr>
            <w:tcW w:type="dxa" w:w="1944"/>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13,097,828</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14, 90, 98</w:t>
            </w:r>
          </w:p>
        </w:tc>
        <w:tc>
          <w:tcPr>
            <w:tcW w:type="dxa" w:w="3888"/>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Interbranch / Employee / Claims</w:t>
            </w:r>
          </w:p>
        </w:tc>
        <w:tc>
          <w:tcPr>
            <w:tcW w:type="dxa" w:w="1512"/>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163,228</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163,203</w:t>
            </w:r>
          </w:p>
        </w:tc>
        <w:tc>
          <w:tcPr>
            <w:tcW w:type="dxa" w:w="1512"/>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10</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15</w:t>
            </w:r>
          </w:p>
        </w:tc>
        <w:tc>
          <w:tcPr>
            <w:tcW w:type="dxa" w:w="1944"/>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1,710,825</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11, 12, 13</w:t>
            </w:r>
          </w:p>
        </w:tc>
        <w:tc>
          <w:tcPr>
            <w:tcW w:type="dxa" w:w="3888"/>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Export (Mexico / Canada / RoW)</w:t>
            </w:r>
          </w:p>
        </w:tc>
        <w:tc>
          <w:tcPr>
            <w:tcW w:type="dxa" w:w="1512"/>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56,854</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55,797</w:t>
            </w:r>
          </w:p>
        </w:tc>
        <w:tc>
          <w:tcPr>
            <w:tcW w:type="dxa" w:w="1512"/>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908</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149</w:t>
            </w:r>
          </w:p>
        </w:tc>
        <w:tc>
          <w:tcPr>
            <w:tcW w:type="dxa" w:w="1944"/>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1,081,760</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03</w:t>
            </w:r>
          </w:p>
        </w:tc>
        <w:tc>
          <w:tcPr>
            <w:tcW w:type="dxa" w:w="3888"/>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Utility</w:t>
            </w:r>
          </w:p>
        </w:tc>
        <w:tc>
          <w:tcPr>
            <w:tcW w:type="dxa" w:w="1512"/>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4,310</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4,131</w:t>
            </w:r>
          </w:p>
        </w:tc>
        <w:tc>
          <w:tcPr>
            <w:tcW w:type="dxa" w:w="1512"/>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158</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21</w:t>
            </w:r>
          </w:p>
        </w:tc>
        <w:tc>
          <w:tcPr>
            <w:tcW w:type="dxa" w:w="1944"/>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85,857</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10</w:t>
            </w:r>
          </w:p>
        </w:tc>
        <w:tc>
          <w:tcPr>
            <w:tcW w:type="dxa" w:w="3888"/>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Hospital</w:t>
            </w:r>
          </w:p>
        </w:tc>
        <w:tc>
          <w:tcPr>
            <w:tcW w:type="dxa" w:w="1512"/>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2,367</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2,317</w:t>
            </w:r>
          </w:p>
        </w:tc>
        <w:tc>
          <w:tcPr>
            <w:tcW w:type="dxa" w:w="1512"/>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45</w:t>
            </w:r>
          </w:p>
        </w:tc>
        <w:tc>
          <w:tcPr>
            <w:tcW w:type="dxa" w:w="1440"/>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5</w:t>
            </w:r>
          </w:p>
        </w:tc>
        <w:tc>
          <w:tcPr>
            <w:tcW w:type="dxa" w:w="1944"/>
            <w:vAlign w:val="center"/>
            <w:tcBorders>
              <w:top w:val="single" w:sz="6" w:color="B0B7C3"/>
              <w:left w:val="single" w:sz="6" w:color="B0B7C3"/>
              <w:bottom w:val="single" w:sz="6" w:color="B0B7C3"/>
              <w:right w:val="single" w:sz="6" w:color="B0B7C3"/>
            </w:tcBorders>
          </w:tcPr>
          <w:p>
            <w:pPr>
              <w:spacing w:before="0" w:after="0"/>
              <w:jc w:val="center"/>
            </w:pPr>
            <w:r/>
            <w:r>
              <w:rPr>
                <w:b w:val="0"/>
                <w:color w:val="1A1A1A"/>
                <w:sz w:val="21"/>
              </w:rPr>
              <w:t>31,201</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04</w:t>
            </w:r>
          </w:p>
        </w:tc>
        <w:tc>
          <w:tcPr>
            <w:tcW w:type="dxa" w:w="3888"/>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Railroad</w:t>
            </w:r>
          </w:p>
        </w:tc>
        <w:tc>
          <w:tcPr>
            <w:tcW w:type="dxa" w:w="1512"/>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726</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705</w:t>
            </w:r>
          </w:p>
        </w:tc>
        <w:tc>
          <w:tcPr>
            <w:tcW w:type="dxa" w:w="1512"/>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16</w:t>
            </w:r>
          </w:p>
        </w:tc>
        <w:tc>
          <w:tcPr>
            <w:tcW w:type="dxa" w:w="1440"/>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5</w:t>
            </w:r>
          </w:p>
        </w:tc>
        <w:tc>
          <w:tcPr>
            <w:tcW w:type="dxa" w:w="1944"/>
            <w:vAlign w:val="center"/>
            <w:tcBorders>
              <w:top w:val="single" w:sz="6" w:color="B0B7C3"/>
              <w:left w:val="single" w:sz="6" w:color="B0B7C3"/>
              <w:bottom w:val="single" w:sz="6" w:color="B0B7C3"/>
              <w:right w:val="single" w:sz="6" w:color="B0B7C3"/>
            </w:tcBorders>
            <w:shd w:fill="F6F7FA" w:val="clear"/>
          </w:tcPr>
          <w:p>
            <w:pPr>
              <w:spacing w:before="0" w:after="0"/>
              <w:jc w:val="center"/>
            </w:pPr>
            <w:r/>
            <w:r>
              <w:rPr>
                <w:b w:val="0"/>
                <w:color w:val="1A1A1A"/>
                <w:sz w:val="21"/>
              </w:rPr>
              <w:t>13,394</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w:t>
            </w:r>
          </w:p>
        </w:tc>
        <w:tc>
          <w:tcPr>
            <w:tcW w:type="dxa" w:w="3888"/>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Not-excluded subtotal</w:t>
            </w:r>
          </w:p>
        </w:tc>
        <w:tc>
          <w:tcPr>
            <w:tcW w:type="dxa" w:w="1512"/>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504,765</w:t>
            </w:r>
          </w:p>
        </w:tc>
        <w:tc>
          <w:tcPr>
            <w:tcW w:type="dxa" w:w="1440"/>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493,734</w:t>
            </w:r>
          </w:p>
        </w:tc>
        <w:tc>
          <w:tcPr>
            <w:tcW w:type="dxa" w:w="1512"/>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9,020</w:t>
            </w:r>
          </w:p>
        </w:tc>
        <w:tc>
          <w:tcPr>
            <w:tcW w:type="dxa" w:w="1440"/>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2,011</w:t>
            </w:r>
          </w:p>
        </w:tc>
        <w:tc>
          <w:tcPr>
            <w:tcW w:type="dxa" w:w="1944"/>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16,020,865</w:t>
            </w:r>
          </w:p>
        </w:tc>
      </w:tr>
      <w:tr>
        <w:trPr>
          <w:trHeight w:val="360" w:hRule="atLeast"/>
        </w:trPr>
        <w:tc>
          <w:tcPr>
            <w:tcW w:type="dxa" w:w="1296"/>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w:t>
            </w:r>
          </w:p>
        </w:tc>
        <w:tc>
          <w:tcPr>
            <w:tcW w:type="dxa" w:w="3888"/>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Total</w:t>
            </w:r>
          </w:p>
        </w:tc>
        <w:tc>
          <w:tcPr>
            <w:tcW w:type="dxa" w:w="1512"/>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554,765</w:t>
            </w:r>
          </w:p>
        </w:tc>
        <w:tc>
          <w:tcPr>
            <w:tcW w:type="dxa" w:w="1440"/>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542,391</w:t>
            </w:r>
          </w:p>
        </w:tc>
        <w:tc>
          <w:tcPr>
            <w:tcW w:type="dxa" w:w="1512"/>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10,048</w:t>
            </w:r>
          </w:p>
        </w:tc>
        <w:tc>
          <w:tcPr>
            <w:tcW w:type="dxa" w:w="1440"/>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2,326</w:t>
            </w:r>
          </w:p>
        </w:tc>
        <w:tc>
          <w:tcPr>
            <w:tcW w:type="dxa" w:w="1944"/>
            <w:vAlign w:val="center"/>
            <w:tcBorders>
              <w:top w:val="single" w:sz="6" w:color="B0B7C3"/>
              <w:left w:val="single" w:sz="6" w:color="B0B7C3"/>
              <w:bottom w:val="single" w:sz="6" w:color="B0B7C3"/>
              <w:right w:val="single" w:sz="6" w:color="B0B7C3"/>
            </w:tcBorders>
            <w:shd w:fill="E6ECF4" w:val="clear"/>
          </w:tcPr>
          <w:p>
            <w:pPr>
              <w:spacing w:before="0" w:after="0"/>
              <w:jc w:val="center"/>
            </w:pPr>
            <w:r/>
            <w:r>
              <w:rPr>
                <w:b/>
                <w:color w:val="1A1A1A"/>
                <w:sz w:val="21"/>
              </w:rPr>
              <w:t>17,028,786</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