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0"/>
        </w:rPr>
        <w:t>QR Code Scan Performance</w:t>
      </w:r>
    </w:p>
    <w:p>
      <w:pPr>
        <w:spacing w:after="240"/>
      </w:pPr>
      <w:r>
        <w:rPr>
          <w:i/>
          <w:color w:val="666666"/>
          <w:sz w:val="21"/>
        </w:rPr>
        <w:t>January 21 – May 28, 2026   |   172 customer scans   |   Prepacks (codeid=4)</w:t>
      </w:r>
    </w:p>
    <w:p>
      <w:pPr>
        <w:spacing w:before="280" w:after="80"/>
      </w:pPr>
      <w:r>
        <w:rPr>
          <w:b/>
          <w:color w:val="1F4E79"/>
          <w:sz w:val="30"/>
        </w:rPr>
        <w:t>Overview</w:t>
      </w:r>
    </w:p>
    <w:p>
      <w:pPr>
        <w:spacing w:after="80"/>
      </w:pPr>
      <w:r>
        <w:rPr>
          <w:b w:val="0"/>
          <w:i w:val="0"/>
          <w:sz w:val="21"/>
        </w:rPr>
        <w:t>Prepacks have carried QR codes on their packaging since the start of 2026. Customers scan the code with a phone camera and land directly on the part's McMaster.com product page — no search, no navigation. This report covers the first four months of that traffic and shows who is scanning, what they look at, and which products are pulling repeat scans.</w:t>
      </w:r>
    </w:p>
    <w:p>
      <w:pPr>
        <w:spacing w:after="80"/>
      </w:pPr>
      <w:r>
        <w:rPr>
          <w:b w:val="0"/>
          <w:i w:val="0"/>
          <w:sz w:val="21"/>
        </w:rPr>
        <w:t>Two findings stand out. First, volume is climbing — weekly scans grew roughly 5× between February and May, with the largest single week (27 scans) occurring May 18. Second, the customers we can identify skew toward small fabrication shops and credit-card buyers. We can also cleanly attribute about half of all scans to a known customer account through IP and visitor-ID triangulation.</w:t>
      </w:r>
    </w:p>
    <w:p>
      <w:pPr>
        <w:spacing w:before="280" w:after="80"/>
      </w:pPr>
      <w:r>
        <w:rPr>
          <w:b/>
          <w:color w:val="1F4E79"/>
          <w:sz w:val="30"/>
        </w:rPr>
        <w:t>Background</w:t>
      </w:r>
    </w:p>
    <w:p>
      <w:pPr>
        <w:spacing w:after="80"/>
      </w:pPr>
      <w:r>
        <w:rPr>
          <w:b w:val="0"/>
          <w:i w:val="0"/>
          <w:sz w:val="21"/>
        </w:rPr>
        <w:t>Each QR code on a Prepack encodes a McMaster.com URL with two parameters: a part number in the path and a query string identifying the code type. Prepack codes use codeid=4 (e.g. mcmaster.com/91251A242/?mode=qr&amp;codeid=4). When scanned, the customer is taken straight to that part's product page. There is no intermediate landing screen and no login required.</w:t>
      </w:r>
    </w:p>
    <w:p>
      <w:pPr>
        <w:spacing w:after="80"/>
      </w:pPr>
      <w:r>
        <w:rPr>
          <w:b w:val="0"/>
          <w:i w:val="0"/>
          <w:sz w:val="21"/>
        </w:rPr>
        <w:t>Codeid=4 is reserved for Prepack packaging. Other codeid values exist for separate programs (codeid=2 covers the assortment kits, for example), and those are not included here.</w:t>
      </w:r>
    </w:p>
    <w:p>
      <w:pPr>
        <w:spacing w:before="280" w:after="80"/>
      </w:pPr>
      <w:r>
        <w:rPr>
          <w:b/>
          <w:color w:val="1F4E79"/>
          <w:sz w:val="30"/>
        </w:rPr>
        <w:t>Methodology</w:t>
      </w:r>
    </w:p>
    <w:p>
      <w:pPr>
        <w:spacing w:after="80"/>
      </w:pPr>
      <w:r>
        <w:rPr>
          <w:b w:val="0"/>
          <w:i w:val="0"/>
          <w:sz w:val="21"/>
        </w:rPr>
        <w:t>We pulled every recorded visit where the landing URL contained mode=qr and codeid=4 between January 21 and May 28, 2026, using the DigitalAnalytics data warehouse (search_source and visit_source tables) and the Neo4j interactions graph for event-level detail.</w:t>
      </w:r>
    </w:p>
    <w:p>
      <w:pPr>
        <w:spacing w:after="80"/>
      </w:pPr>
      <w:r>
        <w:rPr>
          <w:b w:val="0"/>
          <w:i w:val="0"/>
          <w:sz w:val="21"/>
        </w:rPr>
        <w:t>Two filtering passes were applied before analysis:</w:t>
      </w:r>
    </w:p>
    <w:p>
      <w:pPr>
        <w:pStyle w:val="ListBullet"/>
        <w:spacing w:after="40"/>
      </w:pPr>
      <w:r/>
      <w:r>
        <w:rPr>
          <w:sz w:val="21"/>
        </w:rPr>
        <w:t>Internal McMaster-Carr traffic was removed by stripping known internal IP ranges and test devices, leaving only legitimate customer scans.</w:t>
      </w:r>
    </w:p>
    <w:p>
      <w:pPr>
        <w:pStyle w:val="ListBullet"/>
        <w:spacing w:after="40"/>
      </w:pPr>
      <w:r/>
      <w:r>
        <w:rPr>
          <w:sz w:val="21"/>
        </w:rPr>
        <w:t>Duplicate visits and visits with no recorded events were de-duplicated against the visit_id key.</w:t>
      </w:r>
    </w:p>
    <w:p>
      <w:pPr>
        <w:spacing w:after="80"/>
      </w:pPr>
      <w:r>
        <w:rPr>
          <w:b w:val="0"/>
          <w:i w:val="0"/>
          <w:sz w:val="21"/>
        </w:rPr>
        <w:t>After cleaning, 172 unique customer scans remained.</w:t>
      </w:r>
    </w:p>
    <w:p>
      <w:pPr>
        <w:spacing w:before="280" w:after="80"/>
      </w:pPr>
      <w:r>
        <w:rPr>
          <w:b/>
          <w:color w:val="1F4E79"/>
          <w:sz w:val="30"/>
        </w:rPr>
        <w:t>Volume Trend</w:t>
      </w:r>
    </w:p>
    <w:p>
      <w:pPr>
        <w:spacing w:after="80"/>
      </w:pPr>
      <w:r>
        <w:rPr>
          <w:b w:val="0"/>
          <w:i w:val="0"/>
          <w:sz w:val="21"/>
        </w:rPr>
        <w:t>Scan volume grew steadily through the spring. Single-digit weeks in January and February gave way to double-digit weeks starting late March, with the strongest period in May.</w:t>
      </w:r>
    </w:p>
    <w:p>
      <w:r>
        <w:drawing>
          <wp:inline xmlns:a="http://schemas.openxmlformats.org/drawingml/2006/main" xmlns:pic="http://schemas.openxmlformats.org/drawingml/2006/picture">
            <wp:extent cx="6126480" cy="240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0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color w:val="1F4E79"/>
          <w:sz w:val="30"/>
        </w:rPr>
        <w:t>Customer Identification</w:t>
      </w:r>
    </w:p>
    <w:p>
      <w:pPr>
        <w:spacing w:after="80"/>
      </w:pPr>
      <w:r>
        <w:rPr>
          <w:b w:val="0"/>
          <w:i w:val="0"/>
          <w:sz w:val="21"/>
        </w:rPr>
        <w:t>QR scans land on a public URL, so we don't get a logged-in customer ID by default. To identify who is scanning, we triangulate across three signals available at the moment of the scan:</w:t>
      </w:r>
    </w:p>
    <w:p>
      <w:pPr>
        <w:pStyle w:val="ListBullet"/>
        <w:spacing w:after="40"/>
      </w:pPr>
      <w:r/>
      <w:r>
        <w:rPr>
          <w:sz w:val="21"/>
        </w:rPr>
        <w:t>Visitor ID — McMaster's persistent web cookie, present on most modern browser sessions.</w:t>
      </w:r>
    </w:p>
    <w:p>
      <w:pPr>
        <w:pStyle w:val="ListBullet"/>
        <w:spacing w:after="40"/>
      </w:pPr>
      <w:r/>
      <w:r>
        <w:rPr>
          <w:sz w:val="21"/>
        </w:rPr>
        <w:t>Browse ID — a session-level identifier that can be matched against prior contact activity.</w:t>
      </w:r>
    </w:p>
    <w:p>
      <w:pPr>
        <w:pStyle w:val="ListBullet"/>
        <w:spacing w:after="40"/>
      </w:pPr>
      <w:r/>
      <w:r>
        <w:rPr>
          <w:sz w:val="21"/>
        </w:rPr>
        <w:t>Client IP address — when the IP matches a known CMF (e.g., a shop with a static business IP), we can attribute the scan to that account.</w:t>
      </w:r>
    </w:p>
    <w:p>
      <w:pPr>
        <w:spacing w:after="80"/>
      </w:pPr>
      <w:r>
        <w:rPr>
          <w:b w:val="0"/>
          <w:i w:val="0"/>
          <w:sz w:val="21"/>
        </w:rPr>
        <w:t>Across the 172 scans, 90 (52%) triangulated to at least one known customer. The other 82 were either first-time mobile visitors with no prior account activity, or arrived from residential carrier IPs that could not be tied to an account.</w:t>
      </w:r>
    </w:p>
    <w:p>
      <w:pPr>
        <w:spacing w:before="280" w:after="80"/>
      </w:pPr>
      <w:r>
        <w:rPr>
          <w:b/>
          <w:color w:val="1F4E79"/>
          <w:sz w:val="30"/>
        </w:rPr>
        <w:t>What the Visits Look Like</w:t>
      </w:r>
    </w:p>
    <w:p>
      <w:pPr>
        <w:spacing w:after="80"/>
      </w:pPr>
      <w:r>
        <w:rPr>
          <w:b w:val="0"/>
          <w:i w:val="0"/>
          <w:sz w:val="21"/>
        </w:rPr>
        <w:t>Most scans are short. About 69% of customers landed on the product page and left without further interaction — typical behavior for QR codes in physical environments, where curious or accidental scans are common. The remaining 31% explored the site further.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600"/>
            <w:shd w:val="clear" w:color="auto" w:fill="2C5282"/>
          </w:tcPr>
          <w:p>
            <w:r/>
            <w:r>
              <w:rPr>
                <w:b/>
                <w:color w:val="FFFFFF"/>
                <w:sz w:val="21"/>
              </w:rPr>
              <w:t>Engagement</w:t>
            </w:r>
          </w:p>
        </w:tc>
        <w:tc>
          <w:tcPr>
            <w:tcW w:type="dxa" w:w="1584"/>
            <w:shd w:val="clear" w:color="auto" w:fill="2C5282"/>
          </w:tcPr>
          <w:p>
            <w:r/>
            <w:r>
              <w:rPr>
                <w:b/>
                <w:color w:val="FFFFFF"/>
                <w:sz w:val="21"/>
              </w:rPr>
              <w:t>Visits</w:t>
            </w:r>
          </w:p>
        </w:tc>
        <w:tc>
          <w:tcPr>
            <w:tcW w:type="dxa" w:w="2160"/>
            <w:shd w:val="clear" w:color="auto" w:fill="2C5282"/>
          </w:tcPr>
          <w:p>
            <w:r/>
            <w:r>
              <w:rPr>
                <w:b/>
                <w:color w:val="FFFFFF"/>
                <w:sz w:val="21"/>
              </w:rPr>
              <w:t>% of total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20"/>
              </w:rPr>
              <w:t>1 action — landing only</w:t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  <w:t>119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69.2%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20"/>
              </w:rPr>
              <w:t>2 to 5 actions</w:t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  <w:t>41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23.8%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20"/>
              </w:rPr>
              <w:t>6 to 20 actions</w:t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7.0%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1584"/>
          </w:tcPr>
          <w:p>
            <w:r/>
            <w:r>
              <w:rPr>
                <w:sz w:val="20"/>
              </w:rPr>
              <w:t>172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100.0%</w:t>
            </w:r>
          </w:p>
        </w:tc>
      </w:tr>
    </w:tbl>
    <w:p>
      <w:pPr>
        <w:spacing w:after="40"/>
      </w:pPr>
      <w:r>
        <w:rPr>
          <w:b w:val="0"/>
          <w:i w:val="0"/>
          <w:sz w:val="21"/>
        </w:rPr>
      </w:r>
    </w:p>
    <w:p>
      <w:pPr>
        <w:spacing w:after="120"/>
      </w:pPr>
      <w:r>
        <w:rPr>
          <w:b w:val="0"/>
          <w:i w:val="0"/>
          <w:sz w:val="21"/>
        </w:rPr>
        <w:t>Of the engaged customers, three placed items in their order pad and one downloaded a CAD model. Engaged sessions consistently showed spec filtering, image expansion, and revisits to the scanned part — behavior consistent with active purchase consideration rather than browsing.</w:t>
      </w:r>
    </w:p>
    <w:p>
      <w:pPr>
        <w:spacing w:before="200" w:after="40"/>
      </w:pPr>
      <w:r>
        <w:rPr>
          <w:b/>
          <w:color w:val="1F4E79"/>
          <w:sz w:val="24"/>
        </w:rPr>
        <w:t>Devices</w:t>
      </w:r>
    </w:p>
    <w:p>
      <w:pPr>
        <w:spacing w:after="80"/>
      </w:pPr>
      <w:r>
        <w:rPr>
          <w:b w:val="0"/>
          <w:i w:val="0"/>
          <w:sz w:val="21"/>
        </w:rPr>
        <w:t>Mobile phones dominated, as expected. 92% of scans came from a phone (iOS 58%, Android 36%). The remaining 8% came from desktop browsers — typically a person scanning into a phone, then completing the visit on their workstation.</w:t>
      </w:r>
    </w:p>
    <w:p>
      <w:pPr>
        <w:spacing w:before="280" w:after="80"/>
      </w:pPr>
      <w:r>
        <w:rPr>
          <w:b/>
          <w:color w:val="1F4E79"/>
          <w:sz w:val="30"/>
        </w:rPr>
        <w:t>Parts and Repeat Scans</w:t>
      </w:r>
    </w:p>
    <w:p>
      <w:pPr>
        <w:spacing w:after="80"/>
      </w:pPr>
      <w:r>
        <w:rPr>
          <w:b w:val="0"/>
          <w:i w:val="0"/>
          <w:sz w:val="21"/>
        </w:rPr>
        <w:t>Customers scanned 127 distinct part numbers. Most parts (98 of 127, or 77%) were scanned only once — the long tail you would expect from a broad Prepack catalog. The 29 parts scanned more than once are the most likely candidates for repeat shop-floor use.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2C5282"/>
          </w:tcPr>
          <w:p>
            <w:r/>
            <w:r>
              <w:rPr>
                <w:b/>
                <w:color w:val="FFFFFF"/>
                <w:sz w:val="21"/>
              </w:rPr>
              <w:t>Part Number</w:t>
            </w:r>
          </w:p>
        </w:tc>
        <w:tc>
          <w:tcPr>
            <w:tcW w:type="dxa" w:w="1440"/>
            <w:shd w:val="clear" w:color="auto" w:fill="2C5282"/>
          </w:tcPr>
          <w:p>
            <w:r/>
            <w:r>
              <w:rPr>
                <w:b/>
                <w:color w:val="FFFFFF"/>
                <w:sz w:val="21"/>
              </w:rPr>
              <w:t>Scans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91251A242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95105A159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7073K332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1095K11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91247A628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92865A546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97467A117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92865A543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97802A316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91400A196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91000A469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</w:tr>
    </w:tbl>
    <w:p>
      <w:pPr>
        <w:spacing w:after="40"/>
      </w:pPr>
      <w:r>
        <w:rPr>
          <w:b w:val="0"/>
          <w:i w:val="0"/>
          <w:sz w:val="21"/>
        </w:rPr>
      </w:r>
    </w:p>
    <w:p>
      <w:pPr>
        <w:spacing w:after="80"/>
      </w:pPr>
      <w:r>
        <w:rPr>
          <w:b w:val="0"/>
          <w:i w:val="0"/>
          <w:sz w:val="21"/>
        </w:rPr>
        <w:t>Parts with three or more scans suggest the QR code is sitting somewhere it gets used regularly — a shelf label, a maintenance bin, or a tool crib. These are the cleanest signals that the Prepack QR program is being used as intended.</w:t>
      </w:r>
    </w:p>
    <w:p>
      <w:pPr>
        <w:spacing w:before="280" w:after="80"/>
      </w:pPr>
      <w:r>
        <w:rPr>
          <w:b/>
          <w:color w:val="1F4E79"/>
          <w:sz w:val="30"/>
        </w:rPr>
        <w:t>Key Findings</w:t>
      </w:r>
    </w:p>
    <w:p>
      <w:pPr>
        <w:pStyle w:val="ListBullet"/>
        <w:spacing w:after="40"/>
      </w:pPr>
      <w:r/>
      <w:r>
        <w:rPr>
          <w:sz w:val="21"/>
        </w:rPr>
        <w:t>Volume is growing. Weekly scans climbed roughly 5× between February and May. The trend is consistent enough that we should expect continued growth into Q3 as more Prepacks ship.</w:t>
      </w:r>
    </w:p>
    <w:p>
      <w:pPr>
        <w:pStyle w:val="ListBullet"/>
        <w:spacing w:after="40"/>
      </w:pPr>
      <w:r/>
      <w:r>
        <w:rPr>
          <w:sz w:val="21"/>
        </w:rPr>
        <w:t>Most scans don't lead to immediate action, but that's normal. The 69% landing-only rate matches benchmarks for physical QR codes. The 31% engagement rate among the rest is healthy and includes real purchase signals.</w:t>
      </w:r>
    </w:p>
    <w:p>
      <w:pPr>
        <w:pStyle w:val="ListBullet"/>
        <w:spacing w:after="40"/>
      </w:pPr>
      <w:r/>
      <w:r>
        <w:rPr>
          <w:sz w:val="21"/>
        </w:rPr>
        <w:t>We can identify the customer behind about half of all scans. The remaining half are mobile visitors with no prior account history — a growing audience for future engagement.</w:t>
      </w:r>
    </w:p>
    <w:p>
      <w:pPr>
        <w:pStyle w:val="ListBullet"/>
        <w:spacing w:after="40"/>
      </w:pPr>
      <w:r/>
      <w:r>
        <w:rPr>
          <w:sz w:val="21"/>
        </w:rPr>
        <w:t>Repeat-scan parts point at where the codes are working. The 29 parts scanned more than once indicate physical placement that's getting reused — shop floors, maintenance areas, or known reorder points.</w:t>
      </w:r>
    </w:p>
    <w:p>
      <w:pPr>
        <w:pStyle w:val="ListBullet"/>
        <w:spacing w:after="40"/>
      </w:pPr>
      <w:r/>
      <w:r>
        <w:rPr>
          <w:sz w:val="21"/>
        </w:rPr>
        <w:t>Mobile-first design is essential. 92% of scans came from a phone. Any follow-up actions we want customers to take from a QR landing page need to work cleanly on a small screen.</w:t>
      </w:r>
    </w:p>
    <w:p>
      <w:pPr>
        <w:spacing w:before="280" w:after="80"/>
      </w:pPr>
      <w:r>
        <w:rPr>
          <w:b/>
          <w:color w:val="1F4E79"/>
          <w:sz w:val="30"/>
        </w:rPr>
        <w:t>Appendix: Definitions</w:t>
      </w:r>
    </w:p>
    <w:p>
      <w:pPr>
        <w:spacing w:after="20"/>
      </w:pPr>
      <w:r>
        <w:rPr>
          <w:b/>
          <w:i w:val="0"/>
          <w:sz w:val="21"/>
        </w:rPr>
        <w:t>Visit</w:t>
      </w:r>
    </w:p>
    <w:p>
      <w:pPr>
        <w:spacing w:after="80"/>
      </w:pPr>
      <w:r>
        <w:rPr>
          <w:b w:val="0"/>
          <w:i w:val="0"/>
          <w:sz w:val="20"/>
        </w:rPr>
        <w:t>A continuous browser session ending after 4 hours of inactivity, scoped to a single visit_id.</w:t>
      </w:r>
    </w:p>
    <w:p>
      <w:pPr>
        <w:spacing w:after="20"/>
      </w:pPr>
      <w:r>
        <w:rPr>
          <w:b/>
          <w:i w:val="0"/>
          <w:sz w:val="21"/>
        </w:rPr>
        <w:t>Engagement (user_action_engagement_count)</w:t>
      </w:r>
    </w:p>
    <w:p>
      <w:pPr>
        <w:spacing w:after="80"/>
      </w:pPr>
      <w:r>
        <w:rPr>
          <w:b w:val="0"/>
          <w:i w:val="0"/>
          <w:sz w:val="20"/>
        </w:rPr>
        <w:t>The number of deliberate user actions taken during a visit. Excludes passive events like page scrolls or banner impressions.</w:t>
      </w:r>
    </w:p>
    <w:p>
      <w:pPr>
        <w:spacing w:after="20"/>
      </w:pPr>
      <w:r>
        <w:rPr>
          <w:b/>
          <w:i w:val="0"/>
          <w:sz w:val="21"/>
        </w:rPr>
        <w:t>Triangulation</w:t>
      </w:r>
    </w:p>
    <w:p>
      <w:pPr>
        <w:spacing w:after="80"/>
      </w:pPr>
      <w:r>
        <w:rPr>
          <w:b w:val="0"/>
          <w:i w:val="0"/>
          <w:sz w:val="20"/>
        </w:rPr>
        <w:t>Inferring the customer behind an anonymous scan by combining browser cookie (visitor_id), session identifier (browse_id), and client IP against known CMF records.</w:t>
      </w:r>
    </w:p>
    <w:p>
      <w:pPr>
        <w:spacing w:after="20"/>
      </w:pPr>
      <w:r>
        <w:rPr>
          <w:b/>
          <w:i w:val="0"/>
          <w:sz w:val="21"/>
        </w:rPr>
        <w:t>Prepack</w:t>
      </w:r>
    </w:p>
    <w:p>
      <w:pPr>
        <w:spacing w:after="80"/>
      </w:pPr>
      <w:r>
        <w:rPr>
          <w:b w:val="0"/>
          <w:i w:val="0"/>
          <w:sz w:val="20"/>
        </w:rPr>
        <w:t>A pre-packaged kit of one or more parts shipped as a single unit, carrying a QR code on its packaging to make reordering easy.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