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Bdr>
          <w:bottom w:val="single" w:sz="8" w:color="2F4A7C"/>
        </w:pBdr>
      </w:pPr>
      <w:r>
        <w:rPr>
          <w:b/>
          <w:color w:val="2F4A7C"/>
          <w:sz w:val="40"/>
        </w:rPr>
        <w:t>Updating Shipping Location View Rules</w:t>
      </w:r>
    </w:p>
    <w:p>
      <w:pPr>
        <w:spacing w:after="280"/>
      </w:pPr>
      <w:r>
        <w:rPr>
          <w:sz w:val="22"/>
        </w:rPr>
        <w:t>We introduced Shipping Location View in 2017 to let coworkers at the same shipping location see one another’s order history. The eligibility rules have not been revisited since. Given the reordering benefits we see from customers with shared order history and purple links, we recommend revisiting the combination of rules to open shared view to more customers.</w:t>
      </w:r>
    </w:p>
    <w:p>
      <w:pPr>
        <w:spacing w:before="40" w:after="80"/>
      </w:pPr>
      <w:r>
        <w:rPr>
          <w:b/>
          <w:color w:val="2F4A7C"/>
          <w:sz w:val="28"/>
        </w:rPr>
        <w:t>1. Raising the Contact-Count Threshold</w:t>
      </w:r>
    </w:p>
    <w:p>
      <w:pPr>
        <w:spacing w:after="120"/>
      </w:pPr>
      <w:r>
        <w:rPr>
          <w:sz w:val="22"/>
        </w:rPr>
        <w:t>The current rule excludes any shipping location with 10 or more active ordering contacts. The table shows how many additional shipping locations and orders each higher threshold would include, and what would remain excluded even at 50 contacts.</w:t>
      </w:r>
    </w:p>
    <w:tbl>
      <w:tblPr>
        <w:tblW w:type="auto" w:w="0"/>
        <w:jc w:val="left"/>
        <w:tblLook w:firstColumn="1" w:firstRow="1" w:lastColumn="0" w:lastRow="0" w:noHBand="0" w:noVBand="1" w:val="04A0"/>
      </w:tblPr>
      <w:tblGrid>
        <w:gridCol w:w="2160"/>
        <w:gridCol w:w="2016"/>
        <w:gridCol w:w="1440"/>
        <w:gridCol w:w="2880"/>
        <w:gridCol w:w="2448"/>
        <w:gridCol w:w="1584"/>
      </w:tblGrid>
      <w:tr>
        <w:trPr>
          <w:trHeight w:val="440" w:hRule="atLeast"/>
        </w:trPr>
        <w:tc>
          <w:tcPr>
            <w:tcW w:type="dxa" w:w="2160"/>
            <w:vAlign w:val="center"/>
            <w:tcBorders>
              <w:top w:val="single" w:sz="6" w:color="B0B7C3"/>
              <w:left w:val="single" w:sz="6" w:color="B0B7C3"/>
              <w:bottom w:val="single" w:sz="6" w:color="B0B7C3"/>
              <w:right w:val="single" w:sz="6" w:color="B0B7C3"/>
            </w:tcBorders>
            <w:shd w:fill="2F4A7C" w:val="clear"/>
          </w:tcPr>
          <w:p>
            <w:pPr>
              <w:spacing w:before="0" w:after="0"/>
              <w:jc w:val="left"/>
            </w:pPr>
            <w:r/>
            <w:r>
              <w:rPr>
                <w:b/>
                <w:color w:val="FFFFFF"/>
                <w:sz w:val="21"/>
              </w:rPr>
              <w:t>Threshold</w:t>
            </w:r>
          </w:p>
        </w:tc>
        <w:tc>
          <w:tcPr>
            <w:tcW w:type="dxa" w:w="2016"/>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Eligible CMFs</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 CMFs</w:t>
            </w:r>
          </w:p>
        </w:tc>
        <w:tc>
          <w:tcPr>
            <w:tcW w:type="dxa" w:w="2880"/>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Eligible Orders (cumulative)</w:t>
            </w:r>
          </w:p>
        </w:tc>
        <w:tc>
          <w:tcPr>
            <w:tcW w:type="dxa" w:w="2448"/>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Marginal Orders (Δ)</w:t>
            </w:r>
          </w:p>
        </w:tc>
        <w:tc>
          <w:tcPr>
            <w:tcW w:type="dxa" w:w="1584"/>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 of Orders</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10 (current)</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532,692</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97.7%</w:t>
            </w:r>
          </w:p>
        </w:tc>
        <w:tc>
          <w:tcPr>
            <w:tcW w:type="dxa" w:w="28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12,696,477</w:t>
            </w:r>
          </w:p>
        </w:tc>
        <w:tc>
          <w:tcPr>
            <w:tcW w:type="dxa" w:w="244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baseline</w:t>
            </w:r>
          </w:p>
        </w:tc>
        <w:tc>
          <w:tcPr>
            <w:tcW w:type="dxa" w:w="158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74.8%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12</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536,042</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98.4%</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13,207,047</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+510,570</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77.8%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15</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538,906</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98.9%</w:t>
            </w:r>
          </w:p>
        </w:tc>
        <w:tc>
          <w:tcPr>
            <w:tcW w:type="dxa" w:w="28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13,717,234</w:t>
            </w:r>
          </w:p>
        </w:tc>
        <w:tc>
          <w:tcPr>
            <w:tcW w:type="dxa" w:w="244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+510,187</w:t>
            </w:r>
          </w:p>
        </w:tc>
        <w:tc>
          <w:tcPr>
            <w:tcW w:type="dxa" w:w="158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80.8%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20</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541,297</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99.3%</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14,226,992</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+509,758</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83.8%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25</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542,518</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99.5%</w:t>
            </w:r>
          </w:p>
        </w:tc>
        <w:tc>
          <w:tcPr>
            <w:tcW w:type="dxa" w:w="28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14,554,315</w:t>
            </w:r>
          </w:p>
        </w:tc>
        <w:tc>
          <w:tcPr>
            <w:tcW w:type="dxa" w:w="244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+327,323</w:t>
            </w:r>
          </w:p>
        </w:tc>
        <w:tc>
          <w:tcPr>
            <w:tcW w:type="dxa" w:w="158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85.7%</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50</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544,279</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99.9%</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15,232,307</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+678,000</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89.7%</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color w:val="1A1A1A"/>
                <w:sz w:val="21"/>
              </w:rPr>
              <w:t>50+ (stays out)</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751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0.1%</w:t>
            </w:r>
          </w:p>
        </w:tc>
        <w:tc>
          <w:tcPr>
            <w:tcW w:type="dxa" w:w="288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w:t>
            </w:r>
          </w:p>
        </w:tc>
        <w:tc>
          <w:tcPr>
            <w:tcW w:type="dxa" w:w="2448"/>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1,752,777</w:t>
            </w:r>
          </w:p>
        </w:tc>
        <w:tc>
          <w:tcPr>
            <w:tcW w:type="dxa" w:w="158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10.3%</w:t>
            </w:r>
          </w:p>
        </w:tc>
      </w:tr>
    </w:tbl>
    <w:p>
      <w:pPr>
        <w:spacing w:before="320" w:after="80"/>
      </w:pPr>
      <w:r>
        <w:rPr>
          <w:b/>
          <w:color w:val="2F4A7C"/>
          <w:sz w:val="28"/>
        </w:rPr>
        <w:t>2. List Codes by Contact Count</w:t>
      </w:r>
    </w:p>
    <w:p>
      <w:pPr>
        <w:spacing w:after="120"/>
      </w:pPr>
      <w:r>
        <w:rPr>
          <w:sz w:val="22"/>
        </w:rPr>
        <w:t>Every list code, split by whether its shipping locations already meet the contact-count rule (fewer than 10) or do not (10 or more). The highlighted rows are the list codes excluded from Shipping Location View.</w:t>
      </w:r>
    </w:p>
    <w:tbl>
      <w:tblPr>
        <w:tblW w:type="auto" w:w="0"/>
        <w:jc w:val="left"/>
        <w:tblLook w:firstColumn="1" w:firstRow="1" w:lastColumn="0" w:lastRow="0" w:noHBand="0" w:noVBand="1" w:val="04A0"/>
      </w:tblPr>
      <w:tblGrid>
        <w:gridCol w:w="1440"/>
        <w:gridCol w:w="4608"/>
        <w:gridCol w:w="1728"/>
        <w:gridCol w:w="1872"/>
        <w:gridCol w:w="2016"/>
        <w:gridCol w:w="2160"/>
      </w:tblGrid>
      <w:tr>
        <w:trPr>
          <w:trHeight w:val="440" w:hRule="atLeast"/>
        </w:trPr>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left"/>
            </w:pPr>
            <w:r/>
            <w:r>
              <w:rPr>
                <w:b/>
                <w:color w:val="FFFFFF"/>
                <w:sz w:val="21"/>
              </w:rPr>
              <w:t>List Code</w:t>
            </w:r>
          </w:p>
        </w:tc>
        <w:tc>
          <w:tcPr>
            <w:tcW w:type="dxa" w:w="4608"/>
            <w:vAlign w:val="center"/>
            <w:tcBorders>
              <w:top w:val="single" w:sz="6" w:color="B0B7C3"/>
              <w:left w:val="single" w:sz="6" w:color="B0B7C3"/>
              <w:bottom w:val="single" w:sz="6" w:color="B0B7C3"/>
              <w:right w:val="single" w:sz="6" w:color="B0B7C3"/>
            </w:tcBorders>
            <w:shd w:fill="2F4A7C" w:val="clear"/>
          </w:tcPr>
          <w:p>
            <w:pPr>
              <w:spacing w:before="0" w:after="0"/>
              <w:jc w:val="left"/>
            </w:pPr>
            <w:r/>
            <w:r>
              <w:rPr>
                <w:b/>
                <w:color w:val="FFFFFF"/>
                <w:sz w:val="21"/>
              </w:rPr>
              <w:t>Category</w:t>
            </w:r>
          </w:p>
        </w:tc>
        <w:tc>
          <w:tcPr>
            <w:tcW w:type="dxa" w:w="1728"/>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Total CMFs</w:t>
            </w:r>
          </w:p>
        </w:tc>
        <w:tc>
          <w:tcPr>
            <w:tcW w:type="dxa" w:w="1872"/>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Eligible (&lt;10)</w:t>
            </w:r>
          </w:p>
        </w:tc>
        <w:tc>
          <w:tcPr>
            <w:tcW w:type="dxa" w:w="2016"/>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Ineligible (10+)</w:t>
            </w:r>
          </w:p>
        </w:tc>
        <w:tc>
          <w:tcPr>
            <w:tcW w:type="dxa" w:w="2160"/>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Total Orders</w:t>
            </w:r>
          </w:p>
        </w:tc>
      </w:tr>
      <w:tr>
        <w:trPr>
          <w:trHeight w:val="360" w:hRule="atLeast"/>
        </w:trPr>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05</w:t>
            </w:r>
          </w:p>
        </w:tc>
        <w:tc>
          <w:tcPr>
            <w:tcW w:type="dxa" w:w="4608"/>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Federal Gov (Domestic)</w:t>
            </w:r>
          </w:p>
        </w:tc>
        <w:tc>
          <w:tcPr>
            <w:tcW w:type="dxa" w:w="1728"/>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3,032</w:t>
            </w:r>
          </w:p>
        </w:tc>
        <w:tc>
          <w:tcPr>
            <w:tcW w:type="dxa" w:w="187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2,924</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108</w:t>
            </w:r>
          </w:p>
        </w:tc>
        <w:tc>
          <w:tcPr>
            <w:tcW w:type="dxa" w:w="216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58,169</w:t>
            </w:r>
          </w:p>
        </w:tc>
      </w:tr>
      <w:tr>
        <w:trPr>
          <w:trHeight w:val="360" w:hRule="atLeast"/>
        </w:trPr>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06</w:t>
            </w:r>
          </w:p>
        </w:tc>
        <w:tc>
          <w:tcPr>
            <w:tcW w:type="dxa" w:w="4608"/>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Federal Gov (APO/FPO)</w:t>
            </w:r>
          </w:p>
        </w:tc>
        <w:tc>
          <w:tcPr>
            <w:tcW w:type="dxa" w:w="1728"/>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186</w:t>
            </w:r>
          </w:p>
        </w:tc>
        <w:tc>
          <w:tcPr>
            <w:tcW w:type="dxa" w:w="187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185</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w:t>
            </w:r>
          </w:p>
        </w:tc>
        <w:tc>
          <w:tcPr>
            <w:tcW w:type="dxa" w:w="216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786</w:t>
            </w:r>
          </w:p>
        </w:tc>
      </w:tr>
      <w:tr>
        <w:trPr>
          <w:trHeight w:val="360" w:hRule="atLeast"/>
        </w:trPr>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07</w:t>
            </w:r>
          </w:p>
        </w:tc>
        <w:tc>
          <w:tcPr>
            <w:tcW w:type="dxa" w:w="4608"/>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State Gov</w:t>
            </w:r>
          </w:p>
        </w:tc>
        <w:tc>
          <w:tcPr>
            <w:tcW w:type="dxa" w:w="1728"/>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6,798</w:t>
            </w:r>
          </w:p>
        </w:tc>
        <w:tc>
          <w:tcPr>
            <w:tcW w:type="dxa" w:w="187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6,282</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516</w:t>
            </w:r>
          </w:p>
        </w:tc>
        <w:tc>
          <w:tcPr>
            <w:tcW w:type="dxa" w:w="216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184,911</w:t>
            </w:r>
          </w:p>
        </w:tc>
      </w:tr>
      <w:tr>
        <w:trPr>
          <w:trHeight w:val="360" w:hRule="atLeast"/>
        </w:trPr>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08</w:t>
            </w:r>
          </w:p>
        </w:tc>
        <w:tc>
          <w:tcPr>
            <w:tcW w:type="dxa" w:w="4608"/>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Municipal / Private Institute</w:t>
            </w:r>
          </w:p>
        </w:tc>
        <w:tc>
          <w:tcPr>
            <w:tcW w:type="dxa" w:w="1728"/>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16,009</w:t>
            </w:r>
          </w:p>
        </w:tc>
        <w:tc>
          <w:tcPr>
            <w:tcW w:type="dxa" w:w="187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15,787</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222</w:t>
            </w:r>
          </w:p>
        </w:tc>
        <w:tc>
          <w:tcPr>
            <w:tcW w:type="dxa" w:w="216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222,199</w:t>
            </w:r>
          </w:p>
        </w:tc>
      </w:tr>
      <w:tr>
        <w:trPr>
          <w:trHeight w:val="360" w:hRule="atLeast"/>
        </w:trPr>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09</w:t>
            </w:r>
          </w:p>
        </w:tc>
        <w:tc>
          <w:tcPr>
            <w:tcW w:type="dxa" w:w="4608"/>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Private College / University</w:t>
            </w:r>
          </w:p>
        </w:tc>
        <w:tc>
          <w:tcPr>
            <w:tcW w:type="dxa" w:w="1728"/>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2,423</w:t>
            </w:r>
          </w:p>
        </w:tc>
        <w:tc>
          <w:tcPr>
            <w:tcW w:type="dxa" w:w="187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2,160</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263</w:t>
            </w:r>
          </w:p>
        </w:tc>
        <w:tc>
          <w:tcPr>
            <w:tcW w:type="dxa" w:w="216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112,332</w:t>
            </w:r>
          </w:p>
        </w:tc>
      </w:tr>
      <w:tr>
        <w:trPr>
          <w:trHeight w:val="360" w:hRule="atLeast"/>
        </w:trPr>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15</w:t>
            </w:r>
          </w:p>
        </w:tc>
        <w:tc>
          <w:tcPr>
            <w:tcW w:type="dxa" w:w="4608"/>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McMaster-Carr Internal</w:t>
            </w:r>
          </w:p>
        </w:tc>
        <w:tc>
          <w:tcPr>
            <w:tcW w:type="dxa" w:w="1728"/>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5</w:t>
            </w:r>
          </w:p>
        </w:tc>
        <w:tc>
          <w:tcPr>
            <w:tcW w:type="dxa" w:w="187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0</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5</w:t>
            </w:r>
          </w:p>
        </w:tc>
        <w:tc>
          <w:tcPr>
            <w:tcW w:type="dxa" w:w="216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42,130</w:t>
            </w:r>
          </w:p>
        </w:tc>
      </w:tr>
      <w:tr>
        <w:trPr>
          <w:trHeight w:val="360" w:hRule="atLeast"/>
        </w:trPr>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97</w:t>
            </w:r>
          </w:p>
        </w:tc>
        <w:tc>
          <w:tcPr>
            <w:tcW w:type="dxa" w:w="4608"/>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Distributor</w:t>
            </w:r>
          </w:p>
        </w:tc>
        <w:tc>
          <w:tcPr>
            <w:tcW w:type="dxa" w:w="1728"/>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21,547</w:t>
            </w:r>
          </w:p>
        </w:tc>
        <w:tc>
          <w:tcPr>
            <w:tcW w:type="dxa" w:w="187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21,319</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228</w:t>
            </w:r>
          </w:p>
        </w:tc>
        <w:tc>
          <w:tcPr>
            <w:tcW w:type="dxa" w:w="216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387,394</w:t>
            </w:r>
          </w:p>
        </w:tc>
      </w:tr>
      <w:tr>
        <w:trPr>
          <w:trHeight w:val="360" w:hRule="atLeast"/>
        </w:trPr>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color w:val="1A1A1A"/>
                <w:sz w:val="21"/>
              </w:rPr>
              <w:t>—</w:t>
            </w:r>
          </w:p>
        </w:tc>
        <w:tc>
          <w:tcPr>
            <w:tcW w:type="dxa" w:w="4608"/>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color w:val="1A1A1A"/>
                <w:sz w:val="21"/>
              </w:rPr>
              <w:t>Excluded subtotal</w:t>
            </w:r>
          </w:p>
        </w:tc>
        <w:tc>
          <w:tcPr>
            <w:tcW w:type="dxa" w:w="1728"/>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50,000</w:t>
            </w:r>
          </w:p>
        </w:tc>
        <w:tc>
          <w:tcPr>
            <w:tcW w:type="dxa" w:w="187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48,657</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1,343</w:t>
            </w:r>
          </w:p>
        </w:tc>
        <w:tc>
          <w:tcPr>
            <w:tcW w:type="dxa" w:w="216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1,007,921</w:t>
            </w:r>
          </w:p>
        </w:tc>
      </w:tr>
      <w:tr>
        <w:trPr>
          <w:trHeight w:val="360" w:hRule="atLeast"/>
        </w:trPr>
        <w:tc>
          <w:tcPr>
            <w:tcW w:type="dxa" w:w="144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01, 02</w:t>
            </w:r>
          </w:p>
        </w:tc>
        <w:tc>
          <w:tcPr>
            <w:tcW w:type="dxa" w:w="4608"/>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Regular / National</w:t>
            </w:r>
          </w:p>
        </w:tc>
        <w:tc>
          <w:tcPr>
            <w:tcW w:type="dxa" w:w="172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277,280</w:t>
            </w:r>
          </w:p>
        </w:tc>
        <w:tc>
          <w:tcPr>
            <w:tcW w:type="dxa" w:w="1872"/>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267,581</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9,699</w:t>
            </w:r>
          </w:p>
        </w:tc>
        <w:tc>
          <w:tcPr>
            <w:tcW w:type="dxa" w:w="216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13,097,828</w:t>
            </w:r>
          </w:p>
        </w:tc>
      </w:tr>
      <w:tr>
        <w:trPr>
          <w:trHeight w:val="360" w:hRule="atLeast"/>
        </w:trPr>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14, 90, 98</w:t>
            </w:r>
          </w:p>
        </w:tc>
        <w:tc>
          <w:tcPr>
            <w:tcW w:type="dxa" w:w="4608"/>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Interbranch / Employee / Claims</w:t>
            </w:r>
          </w:p>
        </w:tc>
        <w:tc>
          <w:tcPr>
            <w:tcW w:type="dxa" w:w="172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163,228</w:t>
            </w:r>
          </w:p>
        </w:tc>
        <w:tc>
          <w:tcPr>
            <w:tcW w:type="dxa" w:w="1872"/>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163,203</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25</w:t>
            </w:r>
          </w:p>
        </w:tc>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1,710,825</w:t>
            </w:r>
          </w:p>
        </w:tc>
      </w:tr>
      <w:tr>
        <w:trPr>
          <w:trHeight w:val="360" w:hRule="atLeast"/>
        </w:trPr>
        <w:tc>
          <w:tcPr>
            <w:tcW w:type="dxa" w:w="144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11, 12, 13</w:t>
            </w:r>
          </w:p>
        </w:tc>
        <w:tc>
          <w:tcPr>
            <w:tcW w:type="dxa" w:w="4608"/>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Export (Mexico / Canada / RoW)</w:t>
            </w:r>
          </w:p>
        </w:tc>
        <w:tc>
          <w:tcPr>
            <w:tcW w:type="dxa" w:w="172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56,854</w:t>
            </w:r>
          </w:p>
        </w:tc>
        <w:tc>
          <w:tcPr>
            <w:tcW w:type="dxa" w:w="1872"/>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55,797</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1,057</w:t>
            </w:r>
          </w:p>
        </w:tc>
        <w:tc>
          <w:tcPr>
            <w:tcW w:type="dxa" w:w="216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1,081,760</w:t>
            </w:r>
          </w:p>
        </w:tc>
      </w:tr>
      <w:tr>
        <w:trPr>
          <w:trHeight w:val="360" w:hRule="atLeast"/>
        </w:trPr>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03</w:t>
            </w:r>
          </w:p>
        </w:tc>
        <w:tc>
          <w:tcPr>
            <w:tcW w:type="dxa" w:w="4608"/>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Utility</w:t>
            </w:r>
          </w:p>
        </w:tc>
        <w:tc>
          <w:tcPr>
            <w:tcW w:type="dxa" w:w="172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4,310</w:t>
            </w:r>
          </w:p>
        </w:tc>
        <w:tc>
          <w:tcPr>
            <w:tcW w:type="dxa" w:w="1872"/>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4,131</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179</w:t>
            </w:r>
          </w:p>
        </w:tc>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85,857</w:t>
            </w:r>
          </w:p>
        </w:tc>
      </w:tr>
      <w:tr>
        <w:trPr>
          <w:trHeight w:val="360" w:hRule="atLeast"/>
        </w:trPr>
        <w:tc>
          <w:tcPr>
            <w:tcW w:type="dxa" w:w="144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10</w:t>
            </w:r>
          </w:p>
        </w:tc>
        <w:tc>
          <w:tcPr>
            <w:tcW w:type="dxa" w:w="4608"/>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Hospital</w:t>
            </w:r>
          </w:p>
        </w:tc>
        <w:tc>
          <w:tcPr>
            <w:tcW w:type="dxa" w:w="172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2,367</w:t>
            </w:r>
          </w:p>
        </w:tc>
        <w:tc>
          <w:tcPr>
            <w:tcW w:type="dxa" w:w="1872"/>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2,317</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50</w:t>
            </w:r>
          </w:p>
        </w:tc>
        <w:tc>
          <w:tcPr>
            <w:tcW w:type="dxa" w:w="216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31,201</w:t>
            </w:r>
          </w:p>
        </w:tc>
      </w:tr>
      <w:tr>
        <w:trPr>
          <w:trHeight w:val="360" w:hRule="atLeast"/>
        </w:trPr>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04</w:t>
            </w:r>
          </w:p>
        </w:tc>
        <w:tc>
          <w:tcPr>
            <w:tcW w:type="dxa" w:w="4608"/>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Railroad</w:t>
            </w:r>
          </w:p>
        </w:tc>
        <w:tc>
          <w:tcPr>
            <w:tcW w:type="dxa" w:w="172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726</w:t>
            </w:r>
          </w:p>
        </w:tc>
        <w:tc>
          <w:tcPr>
            <w:tcW w:type="dxa" w:w="1872"/>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705</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21</w:t>
            </w:r>
          </w:p>
        </w:tc>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13,394</w:t>
            </w:r>
          </w:p>
        </w:tc>
      </w:tr>
      <w:tr>
        <w:trPr>
          <w:trHeight w:val="360" w:hRule="atLeast"/>
        </w:trPr>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left"/>
            </w:pPr>
            <w:r/>
            <w:r>
              <w:rPr>
                <w:b/>
                <w:color w:val="1A1A1A"/>
                <w:sz w:val="21"/>
              </w:rPr>
              <w:t>—</w:t>
            </w:r>
          </w:p>
        </w:tc>
        <w:tc>
          <w:tcPr>
            <w:tcW w:type="dxa" w:w="4608"/>
            <w:vAlign w:val="center"/>
            <w:tcBorders>
              <w:top w:val="single" w:sz="6" w:color="B0B7C3"/>
              <w:left w:val="single" w:sz="6" w:color="B0B7C3"/>
              <w:bottom w:val="single" w:sz="6" w:color="B0B7C3"/>
              <w:right w:val="single" w:sz="6" w:color="B0B7C3"/>
            </w:tcBorders>
            <w:shd w:fill="E6ECF4" w:val="clear"/>
          </w:tcPr>
          <w:p>
            <w:pPr>
              <w:spacing w:before="0" w:after="0"/>
              <w:jc w:val="left"/>
            </w:pPr>
            <w:r/>
            <w:r>
              <w:rPr>
                <w:b/>
                <w:color w:val="1A1A1A"/>
                <w:sz w:val="21"/>
              </w:rPr>
              <w:t>Not-excluded subtotal</w:t>
            </w:r>
          </w:p>
        </w:tc>
        <w:tc>
          <w:tcPr>
            <w:tcW w:type="dxa" w:w="1728"/>
            <w:vAlign w:val="center"/>
            <w:tcBorders>
              <w:top w:val="single" w:sz="6" w:color="B0B7C3"/>
              <w:left w:val="single" w:sz="6" w:color="B0B7C3"/>
              <w:bottom w:val="single" w:sz="6" w:color="B0B7C3"/>
              <w:right w:val="single" w:sz="6" w:color="B0B7C3"/>
            </w:tcBorders>
            <w:shd w:fill="E6ECF4" w:val="clear"/>
          </w:tcPr>
          <w:p>
            <w:pPr>
              <w:spacing w:before="0" w:after="0"/>
              <w:jc w:val="right"/>
            </w:pPr>
            <w:r/>
            <w:r>
              <w:rPr>
                <w:b/>
                <w:color w:val="1A1A1A"/>
                <w:sz w:val="21"/>
              </w:rPr>
              <w:t>504,765</w:t>
            </w:r>
          </w:p>
        </w:tc>
        <w:tc>
          <w:tcPr>
            <w:tcW w:type="dxa" w:w="1872"/>
            <w:vAlign w:val="center"/>
            <w:tcBorders>
              <w:top w:val="single" w:sz="6" w:color="B0B7C3"/>
              <w:left w:val="single" w:sz="6" w:color="B0B7C3"/>
              <w:bottom w:val="single" w:sz="6" w:color="B0B7C3"/>
              <w:right w:val="single" w:sz="6" w:color="B0B7C3"/>
            </w:tcBorders>
            <w:shd w:fill="E6ECF4" w:val="clear"/>
          </w:tcPr>
          <w:p>
            <w:pPr>
              <w:spacing w:before="0" w:after="0"/>
              <w:jc w:val="right"/>
            </w:pPr>
            <w:r/>
            <w:r>
              <w:rPr>
                <w:b/>
                <w:color w:val="1A1A1A"/>
                <w:sz w:val="21"/>
              </w:rPr>
              <w:t>493,734</w:t>
            </w:r>
          </w:p>
        </w:tc>
        <w:tc>
          <w:tcPr>
            <w:tcW w:type="dxa" w:w="2016"/>
            <w:vAlign w:val="center"/>
            <w:tcBorders>
              <w:top w:val="single" w:sz="6" w:color="B0B7C3"/>
              <w:left w:val="single" w:sz="6" w:color="B0B7C3"/>
              <w:bottom w:val="single" w:sz="6" w:color="B0B7C3"/>
              <w:right w:val="single" w:sz="6" w:color="B0B7C3"/>
            </w:tcBorders>
            <w:shd w:fill="E6ECF4" w:val="clear"/>
          </w:tcPr>
          <w:p>
            <w:pPr>
              <w:spacing w:before="0" w:after="0"/>
              <w:jc w:val="right"/>
            </w:pPr>
            <w:r/>
            <w:r>
              <w:rPr>
                <w:b/>
                <w:color w:val="1A1A1A"/>
                <w:sz w:val="21"/>
              </w:rPr>
              <w:t>11,031</w:t>
            </w:r>
          </w:p>
        </w:tc>
        <w:tc>
          <w:tcPr>
            <w:tcW w:type="dxa" w:w="2160"/>
            <w:vAlign w:val="center"/>
            <w:tcBorders>
              <w:top w:val="single" w:sz="6" w:color="B0B7C3"/>
              <w:left w:val="single" w:sz="6" w:color="B0B7C3"/>
              <w:bottom w:val="single" w:sz="6" w:color="B0B7C3"/>
              <w:right w:val="single" w:sz="6" w:color="B0B7C3"/>
            </w:tcBorders>
            <w:shd w:fill="E6ECF4" w:val="clear"/>
          </w:tcPr>
          <w:p>
            <w:pPr>
              <w:spacing w:before="0" w:after="0"/>
              <w:jc w:val="right"/>
            </w:pPr>
            <w:r/>
            <w:r>
              <w:rPr>
                <w:b/>
                <w:color w:val="1A1A1A"/>
                <w:sz w:val="21"/>
              </w:rPr>
              <w:t>16,020,865</w:t>
            </w:r>
          </w:p>
        </w:tc>
      </w:tr>
      <w:tr>
        <w:trPr>
          <w:trHeight w:val="360" w:hRule="atLeast"/>
        </w:trPr>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left"/>
            </w:pPr>
            <w:r/>
            <w:r>
              <w:rPr>
                <w:b/>
                <w:color w:val="1A1A1A"/>
                <w:sz w:val="21"/>
              </w:rPr>
              <w:t>—</w:t>
            </w:r>
          </w:p>
        </w:tc>
        <w:tc>
          <w:tcPr>
            <w:tcW w:type="dxa" w:w="4608"/>
            <w:vAlign w:val="center"/>
            <w:tcBorders>
              <w:top w:val="single" w:sz="6" w:color="B0B7C3"/>
              <w:left w:val="single" w:sz="6" w:color="B0B7C3"/>
              <w:bottom w:val="single" w:sz="6" w:color="B0B7C3"/>
              <w:right w:val="single" w:sz="6" w:color="B0B7C3"/>
            </w:tcBorders>
            <w:shd w:fill="E6ECF4" w:val="clear"/>
          </w:tcPr>
          <w:p>
            <w:pPr>
              <w:spacing w:before="0" w:after="0"/>
              <w:jc w:val="left"/>
            </w:pPr>
            <w:r/>
            <w:r>
              <w:rPr>
                <w:b/>
                <w:color w:val="1A1A1A"/>
                <w:sz w:val="21"/>
              </w:rPr>
              <w:t>Total</w:t>
            </w:r>
          </w:p>
        </w:tc>
        <w:tc>
          <w:tcPr>
            <w:tcW w:type="dxa" w:w="1728"/>
            <w:vAlign w:val="center"/>
            <w:tcBorders>
              <w:top w:val="single" w:sz="6" w:color="B0B7C3"/>
              <w:left w:val="single" w:sz="6" w:color="B0B7C3"/>
              <w:bottom w:val="single" w:sz="6" w:color="B0B7C3"/>
              <w:right w:val="single" w:sz="6" w:color="B0B7C3"/>
            </w:tcBorders>
            <w:shd w:fill="E6ECF4" w:val="clear"/>
          </w:tcPr>
          <w:p>
            <w:pPr>
              <w:spacing w:before="0" w:after="0"/>
              <w:jc w:val="right"/>
            </w:pPr>
            <w:r/>
            <w:r>
              <w:rPr>
                <w:b/>
                <w:color w:val="1A1A1A"/>
                <w:sz w:val="21"/>
              </w:rPr>
              <w:t>554,765</w:t>
            </w:r>
          </w:p>
        </w:tc>
        <w:tc>
          <w:tcPr>
            <w:tcW w:type="dxa" w:w="1872"/>
            <w:vAlign w:val="center"/>
            <w:tcBorders>
              <w:top w:val="single" w:sz="6" w:color="B0B7C3"/>
              <w:left w:val="single" w:sz="6" w:color="B0B7C3"/>
              <w:bottom w:val="single" w:sz="6" w:color="B0B7C3"/>
              <w:right w:val="single" w:sz="6" w:color="B0B7C3"/>
            </w:tcBorders>
            <w:shd w:fill="E6ECF4" w:val="clear"/>
          </w:tcPr>
          <w:p>
            <w:pPr>
              <w:spacing w:before="0" w:after="0"/>
              <w:jc w:val="right"/>
            </w:pPr>
            <w:r/>
            <w:r>
              <w:rPr>
                <w:b/>
                <w:color w:val="1A1A1A"/>
                <w:sz w:val="21"/>
              </w:rPr>
              <w:t>542,391</w:t>
            </w:r>
          </w:p>
        </w:tc>
        <w:tc>
          <w:tcPr>
            <w:tcW w:type="dxa" w:w="2016"/>
            <w:vAlign w:val="center"/>
            <w:tcBorders>
              <w:top w:val="single" w:sz="6" w:color="B0B7C3"/>
              <w:left w:val="single" w:sz="6" w:color="B0B7C3"/>
              <w:bottom w:val="single" w:sz="6" w:color="B0B7C3"/>
              <w:right w:val="single" w:sz="6" w:color="B0B7C3"/>
            </w:tcBorders>
            <w:shd w:fill="E6ECF4" w:val="clear"/>
          </w:tcPr>
          <w:p>
            <w:pPr>
              <w:spacing w:before="0" w:after="0"/>
              <w:jc w:val="right"/>
            </w:pPr>
            <w:r/>
            <w:r>
              <w:rPr>
                <w:b/>
                <w:color w:val="1A1A1A"/>
                <w:sz w:val="21"/>
              </w:rPr>
              <w:t>12,374</w:t>
            </w:r>
          </w:p>
        </w:tc>
        <w:tc>
          <w:tcPr>
            <w:tcW w:type="dxa" w:w="2160"/>
            <w:vAlign w:val="center"/>
            <w:tcBorders>
              <w:top w:val="single" w:sz="6" w:color="B0B7C3"/>
              <w:left w:val="single" w:sz="6" w:color="B0B7C3"/>
              <w:bottom w:val="single" w:sz="6" w:color="B0B7C3"/>
              <w:right w:val="single" w:sz="6" w:color="B0B7C3"/>
            </w:tcBorders>
            <w:shd w:fill="E6ECF4" w:val="clear"/>
          </w:tcPr>
          <w:p>
            <w:pPr>
              <w:spacing w:before="0" w:after="0"/>
              <w:jc w:val="right"/>
            </w:pPr>
            <w:r/>
            <w:r>
              <w:rPr>
                <w:b/>
                <w:color w:val="1A1A1A"/>
                <w:sz w:val="21"/>
              </w:rPr>
              <w:t>17,028,786</w:t>
            </w:r>
          </w:p>
        </w:tc>
      </w:tr>
    </w:tbl>
    <w:sectPr w:rsidR="00FC693F" w:rsidRPr="0006063C" w:rsidSect="00034616">
      <w:pgSz w:w="15840" w:h="12240" w:orient="landscape"/>
      <w:pgMar w:top="792" w:right="1080"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