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  <w:u w:val="single"/>
        </w:rPr>
        <w:t>QR Codes on Prepack Items</w:t>
      </w:r>
    </w:p>
    <w:p>
      <w:pPr>
        <w:spacing w:after="280"/>
      </w:pPr>
      <w:r>
        <w:rPr>
          <w:i/>
          <w:sz w:val="22"/>
        </w:rPr>
        <w:t>January 21 – May 28, 2026</w:t>
      </w:r>
    </w:p>
    <w:p>
      <w:pPr>
        <w:spacing w:before="0" w:after="80"/>
      </w:pPr>
      <w:r>
        <w:rPr>
          <w:b/>
          <w:sz w:val="26"/>
          <w:u w:val="single"/>
        </w:rPr>
        <w:t>Background</w:t>
      </w:r>
    </w:p>
    <w:p>
      <w:pPr>
        <w:spacing w:before="0" w:after="80"/>
      </w:pPr>
      <w:r>
        <w:rPr>
          <w:b w:val="0"/>
          <w:i w:val="0"/>
          <w:sz w:val="22"/>
        </w:rPr>
        <w:t>In January, Prepack items started to include modern McMaster-Carr branding and a QR code on every label. The QR code takes customers directly to the part's product detail page on McMaster.com, making reordering easier for customers who have the part in hand.</w:t>
      </w:r>
    </w:p>
    <w:p>
      <w:pPr>
        <w:spacing w:before="0" w:after="80"/>
      </w:pPr>
      <w:r>
        <w:rPr>
          <w:b w:val="0"/>
          <w:i w:val="0"/>
          <w:sz w:val="22"/>
        </w:rPr>
        <w:t>172 customers have scanned a Prepack code since launch. Weekly volume is climbing, about half of scans match to a known customer account, and a handful of parts are getting scanned repeatedly.</w:t>
      </w:r>
    </w:p>
    <w:p>
      <w:pPr>
        <w:spacing w:before="280" w:after="80"/>
      </w:pPr>
      <w:r>
        <w:rPr>
          <w:b/>
          <w:sz w:val="26"/>
          <w:u w:val="single"/>
        </w:rPr>
        <w:t>How we measured it</w:t>
      </w:r>
    </w:p>
    <w:p>
      <w:pPr>
        <w:spacing w:after="80"/>
      </w:pPr>
      <w:r>
        <w:rPr>
          <w:sz w:val="22"/>
        </w:rPr>
        <w:t>Every Prepack QR code points to a McMaster.com URL with the same format: the part number, followed by a short tag (</w:t>
      </w:r>
      <w:r>
        <w:rPr>
          <w:b/>
          <w:sz w:val="22"/>
        </w:rPr>
        <w:t>mode=QR &amp; codeid=4</w:t>
      </w:r>
      <w:r>
        <w:rPr>
          <w:sz w:val="22"/>
        </w:rPr>
        <w:t>) that identifies it as a Prepack scan. We pulled every visit that landed on one of these URLs between January 21 and May 28.</w:t>
      </w:r>
    </w:p>
    <w:p>
      <w:pPr>
        <w:spacing w:before="0" w:after="80"/>
      </w:pPr>
      <w:r>
        <w:rPr>
          <w:b w:val="0"/>
          <w:i w:val="0"/>
          <w:sz w:val="22"/>
        </w:rPr>
        <w:t>We filtered out scans associated with our internal IP addresses. That left 172 customer scans.</w:t>
      </w:r>
    </w:p>
    <w:p>
      <w:pPr>
        <w:spacing w:before="280" w:after="80"/>
      </w:pPr>
      <w:r>
        <w:rPr>
          <w:b/>
          <w:sz w:val="26"/>
          <w:u w:val="single"/>
        </w:rPr>
        <w:t>QR scan volume</w:t>
      </w:r>
    </w:p>
    <w:p>
      <w:pPr>
        <w:spacing w:before="0" w:after="80"/>
      </w:pPr>
      <w:r>
        <w:rPr>
          <w:b w:val="0"/>
          <w:i w:val="0"/>
          <w:sz w:val="22"/>
        </w:rPr>
        <w:t>Volume has grown steadily. Weekly scans averaged about 3 in February. By May, weekly scans ranged from 9 to 27, with the high the week of May 18.</w:t>
      </w:r>
    </w:p>
    <w:p>
      <w:r>
        <w:drawing>
          <wp:inline xmlns:a="http://schemas.openxmlformats.org/drawingml/2006/main" xmlns:pic="http://schemas.openxmlformats.org/drawingml/2006/picture">
            <wp:extent cx="5943600" cy="2334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week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sz w:val="26"/>
          <w:u w:val="single"/>
        </w:rPr>
        <w:t>Who is scanning</w:t>
      </w:r>
    </w:p>
    <w:p>
      <w:pPr>
        <w:spacing w:before="0" w:after="80"/>
      </w:pPr>
      <w:r>
        <w:rPr>
          <w:b w:val="0"/>
          <w:i w:val="0"/>
          <w:sz w:val="22"/>
        </w:rPr>
        <w:t>Most customers scan without being logged in, so the visit alone doesn't tell us who they are. We matched scans to known customers using two signals: the visitor ID tied to each visit, and the IP address the scan came from.</w:t>
      </w:r>
    </w:p>
    <w:p>
      <w:pPr>
        <w:spacing w:before="0" w:after="80"/>
      </w:pPr>
      <w:r>
        <w:rPr>
          <w:b w:val="0"/>
          <w:i w:val="0"/>
          <w:sz w:val="22"/>
        </w:rPr>
        <w:t>About half — 90 of the 172 scans — matched to a known customer this way. The matches skew toward shops and credit-card buyers.</w:t>
      </w:r>
    </w:p>
    <w:p>
      <w:pPr>
        <w:spacing w:before="280" w:after="80"/>
      </w:pPr>
      <w:r>
        <w:rPr>
          <w:b/>
          <w:sz w:val="26"/>
          <w:u w:val="single"/>
        </w:rPr>
        <w:t>What customers do after they scan</w:t>
      </w:r>
    </w:p>
    <w:p>
      <w:pPr>
        <w:spacing w:before="0" w:after="80"/>
      </w:pPr>
      <w:r>
        <w:rPr>
          <w:b w:val="0"/>
          <w:i w:val="0"/>
          <w:sz w:val="22"/>
        </w:rPr>
        <w:t>Most visits are short. About seven in ten customers land on the part page and leave without taking any further action.</w:t>
      </w:r>
    </w:p>
    <w:p>
      <w:pPr>
        <w:spacing w:before="0" w:after="80"/>
      </w:pPr>
      <w:r>
        <w:rPr>
          <w:b w:val="0"/>
          <w:i w:val="0"/>
          <w:sz w:val="22"/>
        </w:rPr>
        <w:t>The remaining 31% went deeper. They filtered specs, expanded images, opened related parts, and came back to the scanned product later in the visit. Three placed items in their order pad. One downloaded a CAD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2"/>
              </w:rPr>
              <w:t>Visit length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Visits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% of total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2"/>
              </w:rPr>
              <w:t>Single action (landing only)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119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69%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2"/>
              </w:rPr>
              <w:t>2–5 actions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24%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2"/>
              </w:rPr>
              <w:t>6+ actions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7%</w:t>
            </w:r>
          </w:p>
        </w:tc>
      </w:tr>
    </w:tbl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80"/>
      </w:pPr>
      <w:r>
        <w:rPr>
          <w:b w:val="0"/>
          <w:i w:val="0"/>
          <w:sz w:val="22"/>
        </w:rPr>
        <w:t>92% of scans came from a phone — roughly 60% iPhone and 40% Android. The remaining 8% came from desktop browsers, usually a customer who scanned with their phone and finished the visit on a computer.</w:t>
      </w:r>
    </w:p>
    <w:p>
      <w:pPr>
        <w:spacing w:before="280" w:after="80"/>
      </w:pPr>
      <w:r>
        <w:rPr>
          <w:b/>
          <w:sz w:val="26"/>
          <w:u w:val="single"/>
        </w:rPr>
        <w:t>Which parts get scanned</w:t>
      </w:r>
    </w:p>
    <w:p>
      <w:pPr>
        <w:spacing w:before="0" w:after="80"/>
      </w:pPr>
      <w:r>
        <w:rPr>
          <w:b w:val="0"/>
          <w:i w:val="0"/>
          <w:sz w:val="22"/>
        </w:rPr>
        <w:t>Customers scanned 127 different part numbers. About three-quarters (98 of the 127) were scanned only once. Twenty-nine were scanned more than 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</w:tcPr>
          <w:p>
            <w:r/>
            <w:r>
              <w:rPr>
                <w:b/>
                <w:sz w:val="22"/>
              </w:rPr>
              <w:t>Part number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2"/>
              </w:rPr>
              <w:t>Scans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91251A242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Black-Oxide Alloy Steel Socket Head Screw, 10-24 Thread Size, 1/2" Long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95105A159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Zinc Yellow-Chromate-Plated Steel Twist-Resistant Rivet Nut, 3/8"-16 Thread Size, for 0.027" to 0.150" Material Thickness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7073K332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Element for 100A, 250V AC UL Class H Replaceable-Element Fuse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1095K11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Zinc-Plated Steel Grease Fitting, Straight, 1/8 PTF-SAE Male, 11/16" Overall Height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91247A628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Medium-Strength Grade 5 Steel Hex Head Screw, Zinc-Plated, 3/8"-16 Thread Size, 1-1/2" Long, Partially Threaded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92865A546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Medium-Strength Grade 5 Steel Hex Head Screw, Zinc-Plated, 1/4"-20 Thread Size, 1-1/2" Long, Fully Threaded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97467A117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18-8 Stainless Steel Twist-Resistant Rivet Nut, 5/16"-18 Thread Size, for 0.15" to 0.312" Material Thickness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92865A543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Medium-Strength Grade 5 Steel Hex Head Screw, Zinc-Plated, 1/4"-20 Thread Size, 1" Long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97802A316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High-Strength Toggle Anchor for Drywall, Zinc Plated, for 1/4"-20 Thread, 3/8"-3-5/8" Usable Length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91400A196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Mil. Spec. Phillips Rounded Head Screws, 18-8 Stainless Steel, 8-32 Thread Size, 5/8" Long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91000A469</w:t>
            </w:r>
          </w:p>
        </w:tc>
        <w:tc>
          <w:tcPr>
            <w:tcW w:type="dxa" w:w="86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sz w:val="22"/>
              </w:rPr>
              <w:t>Lubricated 18-8 Stainless Steel Helical Insert, Screw-Lock, 10-32 Thread Size, 0.380" Installed Length</w:t>
            </w:r>
          </w:p>
        </w:tc>
      </w:tr>
    </w:tbl>
    <w:p>
      <w:pPr>
        <w:spacing w:before="280" w:after="80"/>
      </w:pPr>
      <w:r>
        <w:rPr>
          <w:b/>
          <w:sz w:val="26"/>
          <w:u w:val="single"/>
        </w:rPr>
        <w:t>Notable visits</w:t>
      </w:r>
    </w:p>
    <w:p>
      <w:pPr>
        <w:spacing w:before="0" w:after="80"/>
      </w:pPr>
      <w:r>
        <w:rPr>
          <w:b w:val="0"/>
          <w:i w:val="0"/>
          <w:sz w:val="22"/>
        </w:rPr>
        <w:t>Four visits worth a closer look:</w:t>
      </w:r>
    </w:p>
    <w:p>
      <w:pPr>
        <w:spacing w:before="80" w:after="40"/>
      </w:pPr>
      <w:r>
        <w:rPr>
          <w:b/>
          <w:i w:val="0"/>
          <w:sz w:val="22"/>
        </w:rPr>
        <w:t>Henkels &amp; McCoy — visit 6e77d3a6918e42b2845a410daa567c3b</w:t>
      </w:r>
    </w:p>
    <w:p>
      <w:pPr>
        <w:spacing w:before="0" w:after="80"/>
      </w:pPr>
      <w:r>
        <w:rPr>
          <w:b w:val="0"/>
          <w:i w:val="0"/>
          <w:sz w:val="22"/>
        </w:rPr>
        <w:t>Customer scanned the code for part 92188A145 (a stainless brass tapping insert) on a mobile device. Within eight minutes, they adjusted the quantity to 7 and placed an order for $489.11 with same-day delivery.</w:t>
      </w:r>
    </w:p>
    <w:p>
      <w:pPr>
        <w:spacing w:before="160" w:after="40"/>
      </w:pPr>
      <w:r>
        <w:rPr>
          <w:b/>
          <w:i w:val="0"/>
          <w:sz w:val="22"/>
        </w:rPr>
        <w:t>Fathom &amp; Form LLC — visit 84e1a820d4b242d0a82961091c4f4043</w:t>
      </w:r>
    </w:p>
    <w:p>
      <w:pPr>
        <w:spacing w:before="0" w:after="80"/>
      </w:pPr>
      <w:r>
        <w:rPr>
          <w:b w:val="0"/>
          <w:i w:val="0"/>
          <w:sz w:val="22"/>
        </w:rPr>
        <w:t>Customer scanned the code for part 90764A330 on May 6 and added one unit to a preorder within five seconds of landing. The order was placed five days later on May 11.</w:t>
      </w:r>
    </w:p>
    <w:p>
      <w:pPr>
        <w:spacing w:before="160" w:after="40"/>
      </w:pPr>
      <w:r>
        <w:rPr>
          <w:b/>
          <w:i w:val="0"/>
          <w:sz w:val="22"/>
        </w:rPr>
        <w:t>Advance Grinding Services — visit 074c5848af5345be847a34d202010652</w:t>
      </w:r>
    </w:p>
    <w:p>
      <w:pPr>
        <w:spacing w:before="0" w:after="80"/>
      </w:pPr>
      <w:r>
        <w:rPr>
          <w:b w:val="0"/>
          <w:i w:val="0"/>
          <w:sz w:val="22"/>
        </w:rPr>
        <w:t>Customer scanned the code, went straight to Order History, and placed an order for 6 packs of part 91251A440 totaling $72.90. A clean reorder flow.</w:t>
      </w:r>
    </w:p>
    <w:p>
      <w:pPr>
        <w:spacing w:before="160" w:after="40"/>
      </w:pPr>
      <w:r>
        <w:rPr>
          <w:b/>
          <w:i w:val="0"/>
          <w:sz w:val="22"/>
        </w:rPr>
        <w:t>CAD download — visit 48e0af17c2974d60b136232fd9f55bff</w:t>
      </w:r>
    </w:p>
    <w:p>
      <w:pPr>
        <w:spacing w:before="0" w:after="80"/>
      </w:pPr>
      <w:r>
        <w:rPr>
          <w:b w:val="0"/>
          <w:i w:val="0"/>
          <w:sz w:val="22"/>
        </w:rPr>
        <w:t>Customer scanned the code for part 91812A215 (an extreme-vibration wedge lock washer) and downloaded the CAD file within 25 seconds.</w:t>
      </w:r>
    </w:p>
    <w:p>
      <w:r>
        <w:br w:type="page"/>
      </w:r>
    </w:p>
    <w:p>
      <w:pPr>
        <w:spacing w:before="0" w:after="80"/>
      </w:pPr>
      <w:r>
        <w:rPr>
          <w:b/>
          <w:sz w:val="26"/>
          <w:u w:val="single"/>
        </w:rPr>
        <w:t>QR Codes on Assortment Items</w:t>
      </w:r>
    </w:p>
    <w:p>
      <w:pPr>
        <w:spacing w:before="0" w:after="80"/>
      </w:pPr>
      <w:r>
        <w:rPr>
          <w:b w:val="0"/>
          <w:i w:val="0"/>
          <w:sz w:val="22"/>
        </w:rPr>
        <w:t>Product also added QR codes to three assortment kits earlier this year. These codes use a different tag (mode=QR &amp; codeid=2) than the Prepack codes. Each kit has 13 parts: a master part number and twelve components.</w:t>
      </w:r>
    </w:p>
    <w:p>
      <w:pPr>
        <w:spacing w:before="80" w:after="40"/>
      </w:pPr>
      <w:r>
        <w:rPr>
          <w:b w:val="0"/>
          <w:i w:val="0"/>
          <w:sz w:val="22"/>
        </w:rPr>
        <w:t>The three assortments:</w:t>
      </w:r>
    </w:p>
    <w:p>
      <w:pPr>
        <w:pStyle w:val="ListBullet"/>
        <w:spacing w:after="40"/>
      </w:pPr>
      <w:r>
        <w:rPr>
          <w:sz w:val="22"/>
        </w:rPr>
        <w:t>Assortment 1 — master 94723A110</w:t>
      </w:r>
    </w:p>
    <w:p>
      <w:pPr>
        <w:pStyle w:val="ListBullet"/>
        <w:spacing w:after="40"/>
      </w:pPr>
      <w:r>
        <w:rPr>
          <w:sz w:val="22"/>
        </w:rPr>
        <w:t>Assortment 2 — master 94568A110</w:t>
      </w:r>
    </w:p>
    <w:p>
      <w:pPr>
        <w:pStyle w:val="ListBullet"/>
        <w:spacing w:after="40"/>
      </w:pPr>
      <w:r>
        <w:rPr>
          <w:sz w:val="22"/>
        </w:rPr>
        <w:t>Assortment 3 — master 94451A110</w:t>
      </w:r>
    </w:p>
    <w:p>
      <w:pPr>
        <w:spacing w:before="0" w:after="80"/>
      </w:pPr>
      <w:r>
        <w:rPr>
          <w:b w:val="0"/>
          <w:i w:val="0"/>
          <w:sz w:val="22"/>
        </w:rPr>
        <w:t>Customer engagement on the assortment codes is much lower than on the Prepack codes. After filtering out scans from our internal IP address (50.233.58.1), real customer activity drops to a handful of scans across the three kits combined.</w:t>
      </w:r>
    </w:p>
    <w:p>
      <w:pPr>
        <w:spacing w:before="0" w:after="80"/>
      </w:pPr>
      <w:r>
        <w:rPr>
          <w:b w:val="0"/>
          <w:i w:val="0"/>
          <w:sz w:val="22"/>
        </w:rPr>
        <w:t>A cluster of scans on April 29 — fourteen different components scanned in a two-minute window from rotating IPs on the same Android device — looks like automated test traffic and is worth flagging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2"/>
              </w:rPr>
              <w:t>Assortment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Master part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Customer scans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2"/>
              </w:rPr>
              <w:t>A1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94723A110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~1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2"/>
              </w:rPr>
              <w:t>A2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94568A110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2"/>
              </w:rPr>
              <w:t>A3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94451A110</w:t>
            </w:r>
          </w:p>
        </w:tc>
        <w:tc>
          <w:tcPr>
            <w:tcW w:type="dxa" w:w="3120"/>
          </w:tcPr>
          <w:p>
            <w:r/>
            <w:r>
              <w:rPr>
                <w:sz w:val="22"/>
              </w:rPr>
              <w:t>~17 (incl. April 29 burst)</w:t>
            </w:r>
          </w:p>
        </w:tc>
      </w:tr>
    </w:tbl>
    <w:p>
      <w:pPr>
        <w:spacing w:before="0" w:after="120"/>
      </w:pPr>
      <w:r>
        <w:rPr>
          <w:b w:val="0"/>
          <w:i w:val="0"/>
          <w:sz w:val="22"/>
        </w:rPr>
      </w:r>
    </w:p>
    <w:p>
      <w:pPr>
        <w:spacing w:before="0" w:after="80"/>
      </w:pPr>
      <w:r>
        <w:rPr>
          <w:b w:val="0"/>
          <w:i w:val="0"/>
          <w:sz w:val="22"/>
        </w:rPr>
        <w:t>We do not yet have a confirmed go-live date for the assortment codes. Once that is confirmed, we can scope the analysis window appropriately and revisit the engagement read.</w:t>
      </w:r>
    </w:p>
    <w:p>
      <w:pPr>
        <w:spacing w:before="280" w:after="80"/>
      </w:pPr>
      <w:r>
        <w:rPr>
          <w:b/>
          <w:sz w:val="26"/>
          <w:u w:val="single"/>
        </w:rPr>
        <w:t>Takeaways</w:t>
      </w:r>
    </w:p>
    <w:p>
      <w:pPr>
        <w:pStyle w:val="ListBullet"/>
        <w:spacing w:after="40"/>
      </w:pPr>
      <w:r>
        <w:rPr>
          <w:sz w:val="22"/>
        </w:rPr>
        <w:t>Volume is climbing. Weekly scans in May ran roughly five times higher than in February. We expect continued growth as more Prepacks ship.</w:t>
      </w:r>
    </w:p>
    <w:p>
      <w:pPr>
        <w:pStyle w:val="ListBullet"/>
        <w:spacing w:after="40"/>
      </w:pPr>
      <w:r>
        <w:rPr>
          <w:sz w:val="22"/>
        </w:rPr>
        <w:t>About half of scans match to a known customer account.</w:t>
      </w:r>
    </w:p>
    <w:p>
      <w:pPr>
        <w:pStyle w:val="ListBullet"/>
        <w:spacing w:after="40"/>
      </w:pPr>
      <w:r>
        <w:rPr>
          <w:sz w:val="22"/>
        </w:rPr>
        <w:t>Most visits are short. The 31% who go deeper engage meaningfully — filtering specs, expanding images, and in some cases adding items to the order pad.</w:t>
      </w:r>
    </w:p>
    <w:p>
      <w:pPr>
        <w:pStyle w:val="ListBullet"/>
        <w:spacing w:after="40"/>
      </w:pPr>
      <w:r>
        <w:rPr>
          <w:sz w:val="22"/>
        </w:rPr>
        <w:t>Twenty-nine parts came up more than once.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