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packs created in Prepack began shipping with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the customers we can identify are reordering exactly the parts the codes were meant to support,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before="0" w:after="80"/>
      </w:pPr>
      <w:r>
        <w:rPr>
          <w:b w:val="0"/>
          <w:i w:val="0"/>
          <w:sz w:val="22"/>
        </w:rPr>
        <w:t>Every Prepack QR code points to a McMaster.com URL with the same format: the part number, followed by a short tag (mode=QR &amp; codeid=4)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removed test scans from internal McMaster devices and office IPs that were used to verify the codes. We also dropped visits with no recorded activity.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February averaged roughly three scans per week. By May, weekly scans were averaging around seventeen, with a high of twenty-seven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anonymous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The parts that came up more than once are the clearest signal the program is working — codes are sitting on shop floors and getting reused for reorders.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The customers we can identify match the use case the codes were designed for — reordering a specific part they already have on hand.</w:t>
      </w:r>
    </w:p>
    <w:p>
      <w:pPr>
        <w:pStyle w:val="ListBullet"/>
        <w:spacing w:after="40"/>
      </w:pPr>
      <w:r>
        <w:rPr>
          <w:sz w:val="22"/>
        </w:rPr>
        <w:t>Most scans are short, which is normal. The 31% who go deeper show real purchase intent — spec filtering, image expansion, and items added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the parts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