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Bdr>
          <w:bottom w:val="single" w:sz="8" w:color="2F4A7C"/>
        </w:pBdr>
      </w:pPr>
      <w:r>
        <w:rPr>
          <w:b/>
          <w:color w:val="2F4A7C"/>
          <w:sz w:val="40"/>
        </w:rPr>
        <w:t>Updating Shipping Location View Rules</w:t>
      </w:r>
    </w:p>
    <w:p>
      <w:pPr>
        <w:spacing w:after="320"/>
      </w:pPr>
      <w:r>
        <w:rPr>
          <w:sz w:val="22"/>
        </w:rPr>
        <w:t>McMaster-Carr introduced Shipping Location View in 2017 to let coworkers at the same customer location see one another’s order history and reorder from it. The eligibility rules have not been revisited since. As reordering becomes a larger part of how customers use McMaster.com, several of the current thresholds are worth reopening — the rules today keep out customer locations where the original intent (small teams of coworkers sharing an order pad) is already met. This document recommends two changes: raising the active-contact threshold, and refining which list codes are excluded outright.</w:t>
      </w:r>
    </w:p>
    <w:p>
      <w:pPr>
        <w:spacing w:before="40" w:after="80"/>
      </w:pPr>
      <w:r>
        <w:rPr>
          <w:b/>
          <w:color w:val="2F4A7C"/>
          <w:sz w:val="28"/>
        </w:rPr>
        <w:t>1. Raising the Contact-Count Threshold</w:t>
      </w:r>
    </w:p>
    <w:p>
      <w:pPr>
        <w:spacing w:after="120"/>
      </w:pPr>
      <w:r>
        <w:rPr>
          <w:sz w:val="22"/>
        </w:rPr>
        <w:t>The current rule excludes any customer location with 10 or more active ordering contacts. The table shows how many additional customer locations and orders each higher threshold would include, and what would remain excluded even at 50 contacts.</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Orders (cumulative)</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baseline</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50+ (stays out)</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1,752,777</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10.3%</w:t>
            </w:r>
          </w:p>
        </w:tc>
      </w:tr>
    </w:tbl>
    <w:p>
      <w:pPr>
        <w:spacing w:before="320" w:after="80"/>
      </w:pPr>
      <w:r>
        <w:rPr>
          <w:b/>
          <w:color w:val="2F4A7C"/>
          <w:sz w:val="28"/>
        </w:rPr>
        <w:t>2. Excluded List Codes</w:t>
      </w:r>
    </w:p>
    <w:p>
      <w:pPr>
        <w:spacing w:after="120"/>
      </w:pPr>
      <w:r>
        <w:rPr>
          <w:sz w:val="22"/>
        </w:rPr>
        <w:t>The list codes below are excluded from Shipping Location View outright. For each, the table shows how many customer locations would already meet the contact-count rule (fewer than 10) versus those that would still be excluded on it.</w:t>
      </w:r>
    </w:p>
    <w:tbl>
      <w:tblPr>
        <w:tblW w:type="auto" w:w="0"/>
        <w:jc w:val="left"/>
        <w:tblLook w:firstColumn="1" w:firstRow="1" w:lastColumn="0" w:lastRow="0" w:noHBand="0" w:noVBand="1" w:val="04A0"/>
      </w:tblPr>
      <w:tblGrid>
        <w:gridCol w:w="1440"/>
        <w:gridCol w:w="4320"/>
        <w:gridCol w:w="1872"/>
        <w:gridCol w:w="2016"/>
        <w:gridCol w:w="2016"/>
        <w:gridCol w:w="2304"/>
      </w:tblGrid>
      <w:tr>
        <w:trPr>
          <w:trHeight w:val="440" w:hRule="atLeast"/>
        </w:trPr>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List Code</w:t>
            </w:r>
          </w:p>
        </w:tc>
        <w:tc>
          <w:tcPr>
            <w:tcW w:type="dxa" w:w="432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Category</w:t>
            </w:r>
          </w:p>
        </w:tc>
        <w:tc>
          <w:tcPr>
            <w:tcW w:type="dxa" w:w="1872"/>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CMFs</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(&lt;10)</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Ineligible (10+)</w:t>
            </w:r>
          </w:p>
        </w:tc>
        <w:tc>
          <w:tcPr>
            <w:tcW w:type="dxa" w:w="230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Orders</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05</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Federal Government (Domestic)</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3,032</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2,924</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108</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58,169</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06</w:t>
            </w:r>
          </w:p>
        </w:tc>
        <w:tc>
          <w:tcPr>
            <w:tcW w:type="dxa" w:w="432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Federal Government (APO/FPO)</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186</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185</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w:t>
            </w:r>
          </w:p>
        </w:tc>
        <w:tc>
          <w:tcPr>
            <w:tcW w:type="dxa" w:w="230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786</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07</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State Government</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6,798</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6,282</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516</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184,911</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08</w:t>
            </w:r>
          </w:p>
        </w:tc>
        <w:tc>
          <w:tcPr>
            <w:tcW w:type="dxa" w:w="432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Municipal / Private Institute</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16,009</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15,787</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222</w:t>
            </w:r>
          </w:p>
        </w:tc>
        <w:tc>
          <w:tcPr>
            <w:tcW w:type="dxa" w:w="230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222,199</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09</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Private College / University</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2,423</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2,160</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263</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112,332</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15</w:t>
            </w:r>
          </w:p>
        </w:tc>
        <w:tc>
          <w:tcPr>
            <w:tcW w:type="dxa" w:w="432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McMaster-Carr Internal</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0</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w:t>
            </w:r>
          </w:p>
        </w:tc>
        <w:tc>
          <w:tcPr>
            <w:tcW w:type="dxa" w:w="230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42,130</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w:t>
            </w:r>
          </w:p>
        </w:tc>
        <w:tc>
          <w:tcPr>
            <w:tcW w:type="dxa" w:w="432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Total</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28,453</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27,338</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1,115</w:t>
            </w:r>
          </w:p>
        </w:tc>
        <w:tc>
          <w:tcPr>
            <w:tcW w:type="dxa" w:w="230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620,527</w:t>
            </w:r>
          </w:p>
        </w:tc>
      </w:tr>
    </w:tbl>
    <w:sectPr w:rsidR="00FC693F" w:rsidRPr="0006063C" w:rsidSect="00034616">
      <w:pgSz w:w="15840" w:h="12240" w:orient="landscape"/>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