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2"/>
          <w:u w:val="single"/>
        </w:rPr>
        <w:t>QR Codes on Prepacks</w:t>
      </w:r>
    </w:p>
    <w:p>
      <w:pPr>
        <w:spacing w:after="280"/>
      </w:pPr>
      <w:r>
        <w:rPr>
          <w:i/>
          <w:sz w:val="22"/>
        </w:rPr>
        <w:t>January 21 – May 28, 2026   |   172 customer scans</w:t>
      </w:r>
    </w:p>
    <w:p>
      <w:pPr>
        <w:spacing w:before="0" w:after="80"/>
      </w:pPr>
      <w:r>
        <w:rPr>
          <w:b/>
          <w:sz w:val="26"/>
          <w:u w:val="single"/>
        </w:rPr>
        <w:t>Background</w:t>
      </w:r>
    </w:p>
    <w:p>
      <w:pPr>
        <w:spacing w:before="0" w:after="80"/>
      </w:pPr>
      <w:r>
        <w:rPr>
          <w:b w:val="0"/>
          <w:i w:val="0"/>
          <w:sz w:val="22"/>
        </w:rPr>
        <w:t>Earlier this year, Prepacks began shipping with modern McMaster-Carr branding and a QR code on every label. The code takes customers directly to the part's product detail page on McMaster.com. We added the code to make reordering easier for customers who already had the part in hand.</w:t>
      </w:r>
    </w:p>
    <w:p>
      <w:pPr>
        <w:spacing w:before="0" w:after="80"/>
      </w:pPr>
      <w:r>
        <w:rPr>
          <w:b w:val="0"/>
          <w:i w:val="0"/>
          <w:sz w:val="22"/>
        </w:rPr>
        <w:t>This is the first read on how that's playing out. We pulled every visit to a Prepack QR URL between January 21 and May 28, 2026 — 172 customer scans in total — and looked at who scanned, what they did, and which parts pulled the scans.</w:t>
      </w:r>
    </w:p>
    <w:p>
      <w:pPr>
        <w:spacing w:before="280" w:after="80"/>
      </w:pPr>
      <w:r>
        <w:rPr>
          <w:b/>
          <w:sz w:val="26"/>
          <w:u w:val="single"/>
        </w:rPr>
        <w:t>How we measured it</w:t>
      </w:r>
    </w:p>
    <w:p>
      <w:pPr>
        <w:spacing w:before="0" w:after="80"/>
      </w:pPr>
      <w:r>
        <w:rPr>
          <w:b w:val="0"/>
          <w:i w:val="0"/>
          <w:sz w:val="22"/>
        </w:rPr>
        <w:t>Every Prepack QR code encodes the same URL pattern: the part number in the path and ?mode=qr&amp;codeid=4 as the query string. That signature let us isolate Prepack scans from regular product page traffic.</w:t>
      </w:r>
    </w:p>
    <w:p>
      <w:pPr>
        <w:spacing w:before="0" w:after="80"/>
      </w:pPr>
      <w:r>
        <w:rPr>
          <w:b w:val="0"/>
          <w:i w:val="0"/>
          <w:sz w:val="22"/>
        </w:rPr>
        <w:t>Scan data came from the data warehouse and the interactions graph. Two cleaning passes:</w:t>
      </w:r>
    </w:p>
    <w:p>
      <w:pPr>
        <w:pStyle w:val="ListBullet"/>
        <w:spacing w:after="40"/>
      </w:pPr>
      <w:r>
        <w:rPr>
          <w:sz w:val="22"/>
        </w:rPr>
        <w:t>Internal McMaster-Carr scans were removed (test devices, internal IP ranges, and verification activity).</w:t>
      </w:r>
    </w:p>
    <w:p>
      <w:pPr>
        <w:pStyle w:val="ListBullet"/>
        <w:spacing w:after="40"/>
      </w:pPr>
      <w:r>
        <w:rPr>
          <w:sz w:val="22"/>
        </w:rPr>
        <w:t>Duplicate visits and visits with no recorded actions were dropped.</w:t>
      </w:r>
    </w:p>
    <w:p>
      <w:pPr>
        <w:spacing w:before="0" w:after="80"/>
      </w:pPr>
      <w:r>
        <w:rPr>
          <w:b w:val="0"/>
          <w:i w:val="0"/>
          <w:sz w:val="22"/>
        </w:rPr>
        <w:t>172 unique customer scans remained.</w:t>
      </w:r>
    </w:p>
    <w:p>
      <w:pPr>
        <w:spacing w:before="280" w:after="80"/>
      </w:pPr>
      <w:r>
        <w:rPr>
          <w:b/>
          <w:sz w:val="26"/>
          <w:u w:val="single"/>
        </w:rPr>
        <w:t>Scan volume</w:t>
      </w:r>
    </w:p>
    <w:p>
      <w:pPr>
        <w:spacing w:before="0" w:after="80"/>
      </w:pPr>
      <w:r>
        <w:rPr>
          <w:b w:val="0"/>
          <w:i w:val="0"/>
          <w:sz w:val="22"/>
        </w:rPr>
        <w:t>Volume grew steadily through the spring. February averaged roughly three scans per week. By May, weekly scans were averaging around seventeen, with a high of twenty-seven the week of May 18.</w:t>
      </w:r>
    </w:p>
    <w:p>
      <w:r>
        <w:drawing>
          <wp:inline xmlns:a="http://schemas.openxmlformats.org/drawingml/2006/main" xmlns:pic="http://schemas.openxmlformats.org/drawingml/2006/picture">
            <wp:extent cx="5943600" cy="2334668"/>
            <wp:docPr id="1" name="Picture 1"/>
            <wp:cNvGraphicFramePr>
              <a:graphicFrameLocks noChangeAspect="1"/>
            </wp:cNvGraphicFramePr>
            <a:graphic>
              <a:graphicData uri="http://schemas.openxmlformats.org/drawingml/2006/picture">
                <pic:pic>
                  <pic:nvPicPr>
                    <pic:cNvPr id="0" name="qr_weekly.png"/>
                    <pic:cNvPicPr/>
                  </pic:nvPicPr>
                  <pic:blipFill>
                    <a:blip r:embed="rId9"/>
                    <a:stretch>
                      <a:fillRect/>
                    </a:stretch>
                  </pic:blipFill>
                  <pic:spPr>
                    <a:xfrm>
                      <a:off x="0" y="0"/>
                      <a:ext cx="5943600" cy="2334668"/>
                    </a:xfrm>
                    <a:prstGeom prst="rect"/>
                  </pic:spPr>
                </pic:pic>
              </a:graphicData>
            </a:graphic>
          </wp:inline>
        </w:drawing>
      </w:r>
    </w:p>
    <w:p>
      <w:pPr>
        <w:spacing w:before="280" w:after="80"/>
      </w:pPr>
      <w:r>
        <w:rPr>
          <w:b/>
          <w:sz w:val="26"/>
          <w:u w:val="single"/>
        </w:rPr>
        <w:t>Who is scanning</w:t>
      </w:r>
    </w:p>
    <w:p>
      <w:pPr>
        <w:spacing w:before="0" w:after="80"/>
      </w:pPr>
      <w:r>
        <w:rPr>
          <w:b w:val="0"/>
          <w:i w:val="0"/>
          <w:sz w:val="22"/>
        </w:rPr>
        <w:t>Most customers who scan a QR code aren't logged in at the moment of the scan, so we don't get a clean customer ID for free. To work around this, we matched scans to known customers using three signals: the visitor ID stored in their browser, the session ID McMaster tracks for that visit, and the IP address the scan came from.</w:t>
      </w:r>
    </w:p>
    <w:p>
      <w:pPr>
        <w:spacing w:before="0" w:after="80"/>
      </w:pPr>
      <w:r>
        <w:rPr>
          <w:b w:val="0"/>
          <w:i w:val="0"/>
          <w:sz w:val="22"/>
        </w:rPr>
        <w:t>Roughly half — 90 of the 172 scans — matched to a known customer this way. Most were small fabrication shops and credit-card buyers. The other half were first-time mobile visitors with no prior account history, or came from residential carrier IPs we couldn't tie to a specific account.</w:t>
      </w:r>
    </w:p>
    <w:p>
      <w:pPr>
        <w:spacing w:before="280" w:after="80"/>
      </w:pPr>
      <w:r>
        <w:rPr>
          <w:b/>
          <w:sz w:val="26"/>
          <w:u w:val="single"/>
        </w:rPr>
        <w:t>What customers do after they scan</w:t>
      </w:r>
    </w:p>
    <w:p>
      <w:pPr>
        <w:spacing w:before="0" w:after="80"/>
      </w:pPr>
      <w:r>
        <w:rPr>
          <w:b w:val="0"/>
          <w:i w:val="0"/>
          <w:sz w:val="22"/>
        </w:rPr>
        <w:t>Most scans are short. About seven in ten customers land on the part page and leave without further interaction — typical behavior for QR codes in physical environments, where curious or accidental scans happen often.</w:t>
      </w:r>
    </w:p>
    <w:p>
      <w:pPr>
        <w:spacing w:before="0" w:after="80"/>
      </w:pPr>
      <w:r>
        <w:rPr>
          <w:b w:val="0"/>
          <w:i w:val="0"/>
          <w:sz w:val="22"/>
        </w:rPr>
        <w:t>The remaining 31% went deeper. They filtered specs, expanded images, opened sibling parts, and revisited the scanned product. Three placed items in their order pad. One downloaded a CAD file.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2"/>
              </w:rPr>
              <w:t>Visit length</w:t>
            </w:r>
          </w:p>
        </w:tc>
        <w:tc>
          <w:tcPr>
            <w:tcW w:type="dxa" w:w="3120"/>
          </w:tcPr>
          <w:p>
            <w:r/>
            <w:r>
              <w:rPr>
                <w:b/>
                <w:sz w:val="22"/>
              </w:rPr>
              <w:t>Visits</w:t>
            </w:r>
          </w:p>
        </w:tc>
        <w:tc>
          <w:tcPr>
            <w:tcW w:type="dxa" w:w="3120"/>
          </w:tcPr>
          <w:p>
            <w:r/>
            <w:r>
              <w:rPr>
                <w:b/>
                <w:sz w:val="22"/>
              </w:rPr>
              <w:t>% of total</w:t>
            </w:r>
          </w:p>
        </w:tc>
      </w:tr>
      <w:tr>
        <w:tc>
          <w:tcPr>
            <w:tcW w:type="dxa" w:w="3120"/>
          </w:tcPr>
          <w:p>
            <w:r/>
            <w:r>
              <w:rPr>
                <w:sz w:val="22"/>
              </w:rPr>
              <w:t>Single action (landing only)</w:t>
            </w:r>
          </w:p>
        </w:tc>
        <w:tc>
          <w:tcPr>
            <w:tcW w:type="dxa" w:w="3120"/>
          </w:tcPr>
          <w:p>
            <w:r/>
            <w:r>
              <w:rPr>
                <w:sz w:val="22"/>
              </w:rPr>
              <w:t>119</w:t>
            </w:r>
          </w:p>
        </w:tc>
        <w:tc>
          <w:tcPr>
            <w:tcW w:type="dxa" w:w="3120"/>
          </w:tcPr>
          <w:p>
            <w:r/>
            <w:r>
              <w:rPr>
                <w:sz w:val="22"/>
              </w:rPr>
              <w:t>69%</w:t>
            </w:r>
          </w:p>
        </w:tc>
      </w:tr>
      <w:tr>
        <w:tc>
          <w:tcPr>
            <w:tcW w:type="dxa" w:w="3120"/>
          </w:tcPr>
          <w:p>
            <w:r/>
            <w:r>
              <w:rPr>
                <w:sz w:val="22"/>
              </w:rPr>
              <w:t>2–5 actions</w:t>
            </w:r>
          </w:p>
        </w:tc>
        <w:tc>
          <w:tcPr>
            <w:tcW w:type="dxa" w:w="3120"/>
          </w:tcPr>
          <w:p>
            <w:r/>
            <w:r>
              <w:rPr>
                <w:sz w:val="22"/>
              </w:rPr>
              <w:t>41</w:t>
            </w:r>
          </w:p>
        </w:tc>
        <w:tc>
          <w:tcPr>
            <w:tcW w:type="dxa" w:w="3120"/>
          </w:tcPr>
          <w:p>
            <w:r/>
            <w:r>
              <w:rPr>
                <w:sz w:val="22"/>
              </w:rPr>
              <w:t>24%</w:t>
            </w:r>
          </w:p>
        </w:tc>
      </w:tr>
      <w:tr>
        <w:tc>
          <w:tcPr>
            <w:tcW w:type="dxa" w:w="3120"/>
          </w:tcPr>
          <w:p>
            <w:r/>
            <w:r>
              <w:rPr>
                <w:sz w:val="22"/>
              </w:rPr>
              <w:t>6+ actions</w:t>
            </w:r>
          </w:p>
        </w:tc>
        <w:tc>
          <w:tcPr>
            <w:tcW w:type="dxa" w:w="3120"/>
          </w:tcPr>
          <w:p>
            <w:r/>
            <w:r>
              <w:rPr>
                <w:sz w:val="22"/>
              </w:rPr>
              <w:t>12</w:t>
            </w:r>
          </w:p>
        </w:tc>
        <w:tc>
          <w:tcPr>
            <w:tcW w:type="dxa" w:w="3120"/>
          </w:tcPr>
          <w:p>
            <w:r/>
            <w:r>
              <w:rPr>
                <w:sz w:val="22"/>
              </w:rPr>
              <w:t>7%</w:t>
            </w:r>
          </w:p>
        </w:tc>
      </w:tr>
    </w:tbl>
    <w:p>
      <w:pPr>
        <w:spacing w:before="0" w:after="120"/>
      </w:pPr>
      <w:r>
        <w:rPr>
          <w:b w:val="0"/>
          <w:i w:val="0"/>
          <w:sz w:val="22"/>
        </w:rPr>
      </w:r>
    </w:p>
    <w:p>
      <w:pPr>
        <w:spacing w:before="0" w:after="80"/>
      </w:pPr>
      <w:r>
        <w:rPr>
          <w:b w:val="0"/>
          <w:i w:val="0"/>
          <w:sz w:val="22"/>
        </w:rPr>
        <w:t>92% of scans came from a phone — about 60% iPhone, 40% Android. The remaining 8% came from desktop browsers, typically a customer scanning into their phone and then continuing on a workstation.</w:t>
      </w:r>
    </w:p>
    <w:p>
      <w:pPr>
        <w:spacing w:before="280" w:after="80"/>
      </w:pPr>
      <w:r>
        <w:rPr>
          <w:b/>
          <w:sz w:val="26"/>
          <w:u w:val="single"/>
        </w:rPr>
        <w:t>Which parts get scanned</w:t>
      </w:r>
    </w:p>
    <w:p>
      <w:pPr>
        <w:spacing w:before="0" w:after="80"/>
      </w:pPr>
      <w:r>
        <w:rPr>
          <w:b w:val="0"/>
          <w:i w:val="0"/>
          <w:sz w:val="22"/>
        </w:rPr>
        <w:t>Customers scanned 127 different part numbers. Most parts (98 of the 127, or roughly three-quarters) were scanned only once. The parts scanned more than once are the clearest signal that the Prepack QR program is doing what we hoped — landing on a shop floor, getting used to reorder.</w:t>
      </w:r>
    </w:p>
    <w:tbl>
      <w:tblPr>
        <w:tblStyle w:val="TableGrid"/>
        <w:tblW w:type="auto" w:w="0"/>
        <w:tblLook w:firstColumn="1" w:firstRow="1" w:lastColumn="0" w:lastRow="0" w:noHBand="0" w:noVBand="1" w:val="04A0"/>
      </w:tblPr>
      <w:tblGrid>
        <w:gridCol w:w="4680"/>
        <w:gridCol w:w="4680"/>
      </w:tblGrid>
      <w:tr>
        <w:tc>
          <w:tcPr>
            <w:tcW w:type="dxa" w:w="4680"/>
          </w:tcPr>
          <w:p>
            <w:r/>
            <w:r>
              <w:rPr>
                <w:b/>
                <w:sz w:val="22"/>
              </w:rPr>
              <w:t>Part number</w:t>
            </w:r>
          </w:p>
        </w:tc>
        <w:tc>
          <w:tcPr>
            <w:tcW w:type="dxa" w:w="4680"/>
          </w:tcPr>
          <w:p>
            <w:r/>
            <w:r>
              <w:rPr>
                <w:b/>
                <w:sz w:val="22"/>
              </w:rPr>
              <w:t>Scans</w:t>
            </w:r>
          </w:p>
        </w:tc>
      </w:tr>
      <w:tr>
        <w:tc>
          <w:tcPr>
            <w:tcW w:type="dxa" w:w="4680"/>
          </w:tcPr>
          <w:p>
            <w:r/>
            <w:r>
              <w:rPr>
                <w:sz w:val="22"/>
              </w:rPr>
              <w:t>91251A242</w:t>
            </w:r>
          </w:p>
        </w:tc>
        <w:tc>
          <w:tcPr>
            <w:tcW w:type="dxa" w:w="4680"/>
          </w:tcPr>
          <w:p>
            <w:r/>
            <w:r>
              <w:rPr>
                <w:sz w:val="22"/>
              </w:rPr>
              <w:t>5</w:t>
            </w:r>
          </w:p>
        </w:tc>
      </w:tr>
      <w:tr>
        <w:tc>
          <w:tcPr>
            <w:tcW w:type="dxa" w:w="4680"/>
          </w:tcPr>
          <w:p>
            <w:r/>
            <w:r>
              <w:rPr>
                <w:sz w:val="22"/>
              </w:rPr>
              <w:t>95105A159</w:t>
            </w:r>
          </w:p>
        </w:tc>
        <w:tc>
          <w:tcPr>
            <w:tcW w:type="dxa" w:w="4680"/>
          </w:tcPr>
          <w:p>
            <w:r/>
            <w:r>
              <w:rPr>
                <w:sz w:val="22"/>
              </w:rPr>
              <w:t>5</w:t>
            </w:r>
          </w:p>
        </w:tc>
      </w:tr>
      <w:tr>
        <w:tc>
          <w:tcPr>
            <w:tcW w:type="dxa" w:w="4680"/>
          </w:tcPr>
          <w:p>
            <w:r/>
            <w:r>
              <w:rPr>
                <w:sz w:val="22"/>
              </w:rPr>
              <w:t>7073K332</w:t>
            </w:r>
          </w:p>
        </w:tc>
        <w:tc>
          <w:tcPr>
            <w:tcW w:type="dxa" w:w="4680"/>
          </w:tcPr>
          <w:p>
            <w:r/>
            <w:r>
              <w:rPr>
                <w:sz w:val="22"/>
              </w:rPr>
              <w:t>4</w:t>
            </w:r>
          </w:p>
        </w:tc>
      </w:tr>
      <w:tr>
        <w:tc>
          <w:tcPr>
            <w:tcW w:type="dxa" w:w="4680"/>
          </w:tcPr>
          <w:p>
            <w:r/>
            <w:r>
              <w:rPr>
                <w:sz w:val="22"/>
              </w:rPr>
              <w:t>1095K11</w:t>
            </w:r>
          </w:p>
        </w:tc>
        <w:tc>
          <w:tcPr>
            <w:tcW w:type="dxa" w:w="4680"/>
          </w:tcPr>
          <w:p>
            <w:r/>
            <w:r>
              <w:rPr>
                <w:sz w:val="22"/>
              </w:rPr>
              <w:t>3</w:t>
            </w:r>
          </w:p>
        </w:tc>
      </w:tr>
      <w:tr>
        <w:tc>
          <w:tcPr>
            <w:tcW w:type="dxa" w:w="4680"/>
          </w:tcPr>
          <w:p>
            <w:r/>
            <w:r>
              <w:rPr>
                <w:sz w:val="22"/>
              </w:rPr>
              <w:t>91247A628</w:t>
            </w:r>
          </w:p>
        </w:tc>
        <w:tc>
          <w:tcPr>
            <w:tcW w:type="dxa" w:w="4680"/>
          </w:tcPr>
          <w:p>
            <w:r/>
            <w:r>
              <w:rPr>
                <w:sz w:val="22"/>
              </w:rPr>
              <w:t>3</w:t>
            </w:r>
          </w:p>
        </w:tc>
      </w:tr>
      <w:tr>
        <w:tc>
          <w:tcPr>
            <w:tcW w:type="dxa" w:w="4680"/>
          </w:tcPr>
          <w:p>
            <w:r/>
            <w:r>
              <w:rPr>
                <w:sz w:val="22"/>
              </w:rPr>
              <w:t>92865A546</w:t>
            </w:r>
          </w:p>
        </w:tc>
        <w:tc>
          <w:tcPr>
            <w:tcW w:type="dxa" w:w="4680"/>
          </w:tcPr>
          <w:p>
            <w:r/>
            <w:r>
              <w:rPr>
                <w:sz w:val="22"/>
              </w:rPr>
              <w:t>3</w:t>
            </w:r>
          </w:p>
        </w:tc>
      </w:tr>
      <w:tr>
        <w:tc>
          <w:tcPr>
            <w:tcW w:type="dxa" w:w="4680"/>
          </w:tcPr>
          <w:p>
            <w:r/>
            <w:r>
              <w:rPr>
                <w:sz w:val="22"/>
              </w:rPr>
              <w:t>97467A117</w:t>
            </w:r>
          </w:p>
        </w:tc>
        <w:tc>
          <w:tcPr>
            <w:tcW w:type="dxa" w:w="4680"/>
          </w:tcPr>
          <w:p>
            <w:r/>
            <w:r>
              <w:rPr>
                <w:sz w:val="22"/>
              </w:rPr>
              <w:t>3</w:t>
            </w:r>
          </w:p>
        </w:tc>
      </w:tr>
      <w:tr>
        <w:tc>
          <w:tcPr>
            <w:tcW w:type="dxa" w:w="4680"/>
          </w:tcPr>
          <w:p>
            <w:r/>
            <w:r>
              <w:rPr>
                <w:sz w:val="22"/>
              </w:rPr>
              <w:t>92865A543</w:t>
            </w:r>
          </w:p>
        </w:tc>
        <w:tc>
          <w:tcPr>
            <w:tcW w:type="dxa" w:w="4680"/>
          </w:tcPr>
          <w:p>
            <w:r/>
            <w:r>
              <w:rPr>
                <w:sz w:val="22"/>
              </w:rPr>
              <w:t>3</w:t>
            </w:r>
          </w:p>
        </w:tc>
      </w:tr>
      <w:tr>
        <w:tc>
          <w:tcPr>
            <w:tcW w:type="dxa" w:w="4680"/>
          </w:tcPr>
          <w:p>
            <w:r/>
            <w:r>
              <w:rPr>
                <w:sz w:val="22"/>
              </w:rPr>
              <w:t>97802A316</w:t>
            </w:r>
          </w:p>
        </w:tc>
        <w:tc>
          <w:tcPr>
            <w:tcW w:type="dxa" w:w="4680"/>
          </w:tcPr>
          <w:p>
            <w:r/>
            <w:r>
              <w:rPr>
                <w:sz w:val="22"/>
              </w:rPr>
              <w:t>3</w:t>
            </w:r>
          </w:p>
        </w:tc>
      </w:tr>
      <w:tr>
        <w:tc>
          <w:tcPr>
            <w:tcW w:type="dxa" w:w="4680"/>
          </w:tcPr>
          <w:p>
            <w:r/>
            <w:r>
              <w:rPr>
                <w:sz w:val="22"/>
              </w:rPr>
              <w:t>91400A196</w:t>
            </w:r>
          </w:p>
        </w:tc>
        <w:tc>
          <w:tcPr>
            <w:tcW w:type="dxa" w:w="4680"/>
          </w:tcPr>
          <w:p>
            <w:r/>
            <w:r>
              <w:rPr>
                <w:sz w:val="22"/>
              </w:rPr>
              <w:t>3</w:t>
            </w:r>
          </w:p>
        </w:tc>
      </w:tr>
      <w:tr>
        <w:tc>
          <w:tcPr>
            <w:tcW w:type="dxa" w:w="4680"/>
          </w:tcPr>
          <w:p>
            <w:r/>
            <w:r>
              <w:rPr>
                <w:sz w:val="22"/>
              </w:rPr>
              <w:t>91000A469</w:t>
            </w:r>
          </w:p>
        </w:tc>
        <w:tc>
          <w:tcPr>
            <w:tcW w:type="dxa" w:w="4680"/>
          </w:tcPr>
          <w:p>
            <w:r/>
            <w:r>
              <w:rPr>
                <w:sz w:val="22"/>
              </w:rPr>
              <w:t>3</w:t>
            </w:r>
          </w:p>
        </w:tc>
      </w:tr>
    </w:tbl>
    <w:p>
      <w:pPr>
        <w:spacing w:before="280" w:after="80"/>
      </w:pPr>
      <w:r>
        <w:rPr>
          <w:b/>
          <w:sz w:val="26"/>
          <w:u w:val="single"/>
        </w:rPr>
        <w:t>Takeaways</w:t>
      </w:r>
    </w:p>
    <w:p>
      <w:pPr>
        <w:pStyle w:val="ListBullet"/>
        <w:spacing w:after="40"/>
      </w:pPr>
      <w:r>
        <w:rPr>
          <w:sz w:val="22"/>
        </w:rPr>
        <w:t>Volume is climbing. Weekly scans are roughly five times higher in May than in February. We expect continued growth as more Prepacks ship.</w:t>
      </w:r>
    </w:p>
    <w:p>
      <w:pPr>
        <w:pStyle w:val="ListBullet"/>
        <w:spacing w:after="40"/>
      </w:pPr>
      <w:r>
        <w:rPr>
          <w:sz w:val="22"/>
        </w:rPr>
        <w:t>The customers we can identify are exactly who we hoped to reach — small shops and credit-card buyers reordering specific parts.</w:t>
      </w:r>
    </w:p>
    <w:p>
      <w:pPr>
        <w:pStyle w:val="ListBullet"/>
        <w:spacing w:after="40"/>
      </w:pPr>
      <w:r>
        <w:rPr>
          <w:sz w:val="22"/>
        </w:rPr>
        <w:t>Most scans are short, which is normal for physical QR codes. The 31% who engage show real purchase intent.</w:t>
      </w:r>
    </w:p>
    <w:p>
      <w:pPr>
        <w:pStyle w:val="ListBullet"/>
        <w:spacing w:after="40"/>
      </w:pPr>
      <w:r>
        <w:rPr>
          <w:sz w:val="22"/>
        </w:rPr>
        <w:t>The 29 parts scanned more than once tell us where the codes are being used most. These are good candidates for follow-up — better labeling, better reorder prompts, or new packaging formats.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