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sz w:val="32"/>
          <w:u w:val="single"/>
        </w:rPr>
        <w:t>QR Codes on Prepack Items</w:t>
      </w:r>
    </w:p>
    <w:p>
      <w:pPr>
        <w:spacing w:after="280"/>
      </w:pPr>
      <w:r>
        <w:rPr>
          <w:i/>
          <w:sz w:val="22"/>
        </w:rPr>
        <w:t>January 21 – May 28, 2026</w:t>
      </w:r>
    </w:p>
    <w:p>
      <w:pPr>
        <w:spacing w:before="0" w:after="80"/>
      </w:pPr>
      <w:r>
        <w:rPr>
          <w:b/>
          <w:sz w:val="26"/>
          <w:u w:val="single"/>
        </w:rPr>
        <w:t>Background</w:t>
      </w:r>
    </w:p>
    <w:p>
      <w:pPr>
        <w:spacing w:before="0" w:after="80"/>
      </w:pPr>
      <w:r>
        <w:rPr>
          <w:b w:val="0"/>
          <w:i w:val="0"/>
          <w:sz w:val="22"/>
        </w:rPr>
        <w:t>In January, packs created in Prepack began shipping with modern McMaster-Carr branding and a QR code on every label. The QR code takes customers directly to the part's product detail page on McMaster.com, making reordering easier for customers who have part in hand.</w:t>
      </w:r>
    </w:p>
    <w:p>
      <w:pPr>
        <w:spacing w:before="0" w:after="80"/>
      </w:pPr>
      <w:r>
        <w:rPr>
          <w:b w:val="0"/>
          <w:i w:val="0"/>
          <w:sz w:val="22"/>
        </w:rPr>
        <w:t>172 customers have scanned a Prepack code since launch. Weekly volume is climbing, the customers we can identify are reordering exactly the parts the codes were meant to support, and a handful of parts are getting scanned repeatedly.</w:t>
      </w:r>
    </w:p>
    <w:p>
      <w:pPr>
        <w:spacing w:before="280" w:after="80"/>
      </w:pPr>
      <w:r>
        <w:rPr>
          <w:b/>
          <w:sz w:val="26"/>
          <w:u w:val="single"/>
        </w:rPr>
        <w:t>How we measured it</w:t>
      </w:r>
    </w:p>
    <w:p>
      <w:pPr>
        <w:spacing w:before="0" w:after="80"/>
      </w:pPr>
      <w:r>
        <w:rPr>
          <w:b w:val="0"/>
          <w:i w:val="0"/>
          <w:sz w:val="22"/>
        </w:rPr>
        <w:t>Every Prepack QR code points to a McMaster.com URL with the same format: the part number, followed by a short tag (mode=QR &amp; codeid=4) that identifies it as a Prepack scan. We pulled every visit that landed on one of these URLs between January 21 and May 28.</w:t>
      </w:r>
    </w:p>
    <w:p>
      <w:pPr>
        <w:spacing w:before="0" w:after="80"/>
      </w:pPr>
      <w:r>
        <w:rPr>
          <w:b w:val="0"/>
          <w:i w:val="0"/>
          <w:sz w:val="22"/>
        </w:rPr>
        <w:t>We removed test scans from internal McMaster devices and office IPs that were used to verify the codes. We also dropped visits with no recorded activity. That left 172 customer scans.</w:t>
      </w:r>
    </w:p>
    <w:p>
      <w:pPr>
        <w:spacing w:before="280" w:after="80"/>
      </w:pPr>
      <w:r>
        <w:rPr>
          <w:b/>
          <w:sz w:val="26"/>
          <w:u w:val="single"/>
        </w:rPr>
        <w:t>Scan volume</w:t>
      </w:r>
    </w:p>
    <w:p>
      <w:pPr>
        <w:spacing w:before="0" w:after="80"/>
      </w:pPr>
      <w:r>
        <w:rPr>
          <w:b w:val="0"/>
          <w:i w:val="0"/>
          <w:sz w:val="22"/>
        </w:rPr>
        <w:t>Volume has grown steadily. February averaged roughly three scans per week. By May, weekly scans were averaging around seventeen, with a high of twenty-seven the week of May 18.</w:t>
      </w:r>
    </w:p>
    <w:p>
      <w:r>
        <w:drawing>
          <wp:inline xmlns:a="http://schemas.openxmlformats.org/drawingml/2006/main" xmlns:pic="http://schemas.openxmlformats.org/drawingml/2006/picture">
            <wp:extent cx="5943600" cy="23346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r_weekly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346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80"/>
      </w:pPr>
      <w:r>
        <w:rPr>
          <w:b/>
          <w:sz w:val="26"/>
          <w:u w:val="single"/>
        </w:rPr>
        <w:t>Who is scanning</w:t>
      </w:r>
    </w:p>
    <w:p>
      <w:pPr>
        <w:spacing w:before="0" w:after="80"/>
      </w:pPr>
      <w:r>
        <w:rPr>
          <w:b w:val="0"/>
          <w:i w:val="0"/>
          <w:sz w:val="22"/>
        </w:rPr>
        <w:t>Most customers scan without being logged in, so the visit alone doesn't tell us who they are. We matched scans to known customers using two signals: the anonymous visitor ID tied to each visit, and the IP address the scan came from.</w:t>
      </w:r>
    </w:p>
    <w:p>
      <w:pPr>
        <w:spacing w:before="0" w:after="80"/>
      </w:pPr>
      <w:r>
        <w:rPr>
          <w:b w:val="0"/>
          <w:i w:val="0"/>
          <w:sz w:val="22"/>
        </w:rPr>
        <w:t>About half — 90 of the 172 scans — matched to a known customer this way. The matches skew toward shops and credit-card buyers reordering specific parts.</w:t>
      </w:r>
    </w:p>
    <w:p>
      <w:pPr>
        <w:spacing w:before="280" w:after="80"/>
      </w:pPr>
      <w:r>
        <w:rPr>
          <w:b/>
          <w:sz w:val="26"/>
          <w:u w:val="single"/>
        </w:rPr>
        <w:t>What customers do after they scan</w:t>
      </w:r>
    </w:p>
    <w:p>
      <w:pPr>
        <w:spacing w:before="0" w:after="80"/>
      </w:pPr>
      <w:r>
        <w:rPr>
          <w:b w:val="0"/>
          <w:i w:val="0"/>
          <w:sz w:val="22"/>
        </w:rPr>
        <w:t>Most scans are short. About seven in ten customers land on the part page and leave without taking any further action.</w:t>
      </w:r>
    </w:p>
    <w:p>
      <w:pPr>
        <w:spacing w:before="0" w:after="80"/>
      </w:pPr>
      <w:r>
        <w:rPr>
          <w:b w:val="0"/>
          <w:i w:val="0"/>
          <w:sz w:val="22"/>
        </w:rPr>
        <w:t>The remaining 31% went deeper. They filtered specs, expanded images, opened related parts, and came back to the scanned product later in the visit. Three placed items in their order pad. One downloaded a CAD file.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/>
            <w:r>
              <w:rPr>
                <w:b/>
                <w:sz w:val="22"/>
              </w:rPr>
              <w:t>Visit length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22"/>
              </w:rPr>
              <w:t>Visits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22"/>
              </w:rPr>
              <w:t>% of total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22"/>
              </w:rPr>
              <w:t>Single action (landing only)</w:t>
            </w:r>
          </w:p>
        </w:tc>
        <w:tc>
          <w:tcPr>
            <w:tcW w:type="dxa" w:w="3120"/>
          </w:tcPr>
          <w:p>
            <w:r/>
            <w:r>
              <w:rPr>
                <w:sz w:val="22"/>
              </w:rPr>
              <w:t>119</w:t>
            </w:r>
          </w:p>
        </w:tc>
        <w:tc>
          <w:tcPr>
            <w:tcW w:type="dxa" w:w="3120"/>
          </w:tcPr>
          <w:p>
            <w:r/>
            <w:r>
              <w:rPr>
                <w:sz w:val="22"/>
              </w:rPr>
              <w:t>69%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22"/>
              </w:rPr>
              <w:t>2–5 actions</w:t>
            </w:r>
          </w:p>
        </w:tc>
        <w:tc>
          <w:tcPr>
            <w:tcW w:type="dxa" w:w="3120"/>
          </w:tcPr>
          <w:p>
            <w:r/>
            <w:r>
              <w:rPr>
                <w:sz w:val="22"/>
              </w:rPr>
              <w:t>41</w:t>
            </w:r>
          </w:p>
        </w:tc>
        <w:tc>
          <w:tcPr>
            <w:tcW w:type="dxa" w:w="3120"/>
          </w:tcPr>
          <w:p>
            <w:r/>
            <w:r>
              <w:rPr>
                <w:sz w:val="22"/>
              </w:rPr>
              <w:t>24%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22"/>
              </w:rPr>
              <w:t>6+ actions</w:t>
            </w:r>
          </w:p>
        </w:tc>
        <w:tc>
          <w:tcPr>
            <w:tcW w:type="dxa" w:w="3120"/>
          </w:tcPr>
          <w:p>
            <w:r/>
            <w:r>
              <w:rPr>
                <w:sz w:val="22"/>
              </w:rPr>
              <w:t>12</w:t>
            </w:r>
          </w:p>
        </w:tc>
        <w:tc>
          <w:tcPr>
            <w:tcW w:type="dxa" w:w="3120"/>
          </w:tcPr>
          <w:p>
            <w:r/>
            <w:r>
              <w:rPr>
                <w:sz w:val="22"/>
              </w:rPr>
              <w:t>7%</w:t>
            </w:r>
          </w:p>
        </w:tc>
      </w:tr>
    </w:tbl>
    <w:p>
      <w:pPr>
        <w:spacing w:before="0" w:after="120"/>
      </w:pPr>
      <w:r>
        <w:rPr>
          <w:b w:val="0"/>
          <w:i w:val="0"/>
          <w:sz w:val="22"/>
        </w:rPr>
      </w:r>
    </w:p>
    <w:p>
      <w:pPr>
        <w:spacing w:before="0" w:after="80"/>
      </w:pPr>
      <w:r>
        <w:rPr>
          <w:b w:val="0"/>
          <w:i w:val="0"/>
          <w:sz w:val="22"/>
        </w:rPr>
        <w:t>92% of scans came from a phone — roughly 60% iPhone and 40% Android. The remaining 8% came from desktop browsers, usually a customer who scanned with their phone and finished the visit on a computer.</w:t>
      </w:r>
    </w:p>
    <w:p>
      <w:pPr>
        <w:spacing w:before="280" w:after="80"/>
      </w:pPr>
      <w:r>
        <w:rPr>
          <w:b/>
          <w:sz w:val="26"/>
          <w:u w:val="single"/>
        </w:rPr>
        <w:t>Which parts get scanned</w:t>
      </w:r>
    </w:p>
    <w:p>
      <w:pPr>
        <w:spacing w:before="0" w:after="80"/>
      </w:pPr>
      <w:r>
        <w:rPr>
          <w:b w:val="0"/>
          <w:i w:val="0"/>
          <w:sz w:val="22"/>
        </w:rPr>
        <w:t>Customers scanned 127 different part numbers. About three-quarters (98 of the 127) were scanned only once. The parts that came up more than once are the clearest signal the program is working — codes are sitting on shop floors and getting reused for reorders.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/>
            <w:r>
              <w:rPr>
                <w:b/>
                <w:sz w:val="22"/>
              </w:rPr>
              <w:t>Part number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22"/>
              </w:rPr>
              <w:t>Scans</w:t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22"/>
              </w:rPr>
              <w:t>91251A242</w:t>
            </w:r>
          </w:p>
        </w:tc>
        <w:tc>
          <w:tcPr>
            <w:tcW w:type="dxa" w:w="4680"/>
          </w:tcPr>
          <w:p>
            <w:r/>
            <w:r>
              <w:rPr>
                <w:sz w:val="22"/>
              </w:rPr>
              <w:t>5</w:t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22"/>
              </w:rPr>
              <w:t>95105A159</w:t>
            </w:r>
          </w:p>
        </w:tc>
        <w:tc>
          <w:tcPr>
            <w:tcW w:type="dxa" w:w="4680"/>
          </w:tcPr>
          <w:p>
            <w:r/>
            <w:r>
              <w:rPr>
                <w:sz w:val="22"/>
              </w:rPr>
              <w:t>5</w:t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22"/>
              </w:rPr>
              <w:t>7073K332</w:t>
            </w:r>
          </w:p>
        </w:tc>
        <w:tc>
          <w:tcPr>
            <w:tcW w:type="dxa" w:w="4680"/>
          </w:tcPr>
          <w:p>
            <w:r/>
            <w:r>
              <w:rPr>
                <w:sz w:val="22"/>
              </w:rPr>
              <w:t>4</w:t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22"/>
              </w:rPr>
              <w:t>1095K11</w:t>
            </w:r>
          </w:p>
        </w:tc>
        <w:tc>
          <w:tcPr>
            <w:tcW w:type="dxa" w:w="4680"/>
          </w:tcPr>
          <w:p>
            <w:r/>
            <w:r>
              <w:rPr>
                <w:sz w:val="22"/>
              </w:rPr>
              <w:t>3</w:t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22"/>
              </w:rPr>
              <w:t>91247A628</w:t>
            </w:r>
          </w:p>
        </w:tc>
        <w:tc>
          <w:tcPr>
            <w:tcW w:type="dxa" w:w="4680"/>
          </w:tcPr>
          <w:p>
            <w:r/>
            <w:r>
              <w:rPr>
                <w:sz w:val="22"/>
              </w:rPr>
              <w:t>3</w:t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22"/>
              </w:rPr>
              <w:t>92865A546</w:t>
            </w:r>
          </w:p>
        </w:tc>
        <w:tc>
          <w:tcPr>
            <w:tcW w:type="dxa" w:w="4680"/>
          </w:tcPr>
          <w:p>
            <w:r/>
            <w:r>
              <w:rPr>
                <w:sz w:val="22"/>
              </w:rPr>
              <w:t>3</w:t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22"/>
              </w:rPr>
              <w:t>97467A117</w:t>
            </w:r>
          </w:p>
        </w:tc>
        <w:tc>
          <w:tcPr>
            <w:tcW w:type="dxa" w:w="4680"/>
          </w:tcPr>
          <w:p>
            <w:r/>
            <w:r>
              <w:rPr>
                <w:sz w:val="22"/>
              </w:rPr>
              <w:t>3</w:t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22"/>
              </w:rPr>
              <w:t>92865A543</w:t>
            </w:r>
          </w:p>
        </w:tc>
        <w:tc>
          <w:tcPr>
            <w:tcW w:type="dxa" w:w="4680"/>
          </w:tcPr>
          <w:p>
            <w:r/>
            <w:r>
              <w:rPr>
                <w:sz w:val="22"/>
              </w:rPr>
              <w:t>3</w:t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22"/>
              </w:rPr>
              <w:t>97802A316</w:t>
            </w:r>
          </w:p>
        </w:tc>
        <w:tc>
          <w:tcPr>
            <w:tcW w:type="dxa" w:w="4680"/>
          </w:tcPr>
          <w:p>
            <w:r/>
            <w:r>
              <w:rPr>
                <w:sz w:val="22"/>
              </w:rPr>
              <w:t>3</w:t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22"/>
              </w:rPr>
              <w:t>91400A196</w:t>
            </w:r>
          </w:p>
        </w:tc>
        <w:tc>
          <w:tcPr>
            <w:tcW w:type="dxa" w:w="4680"/>
          </w:tcPr>
          <w:p>
            <w:r/>
            <w:r>
              <w:rPr>
                <w:sz w:val="22"/>
              </w:rPr>
              <w:t>3</w:t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22"/>
              </w:rPr>
              <w:t>91000A469</w:t>
            </w:r>
          </w:p>
        </w:tc>
        <w:tc>
          <w:tcPr>
            <w:tcW w:type="dxa" w:w="4680"/>
          </w:tcPr>
          <w:p>
            <w:r/>
            <w:r>
              <w:rPr>
                <w:sz w:val="22"/>
              </w:rPr>
              <w:t>3</w:t>
            </w:r>
          </w:p>
        </w:tc>
      </w:tr>
    </w:tbl>
    <w:p>
      <w:pPr>
        <w:spacing w:before="280" w:after="80"/>
      </w:pPr>
      <w:r>
        <w:rPr>
          <w:b/>
          <w:sz w:val="26"/>
          <w:u w:val="single"/>
        </w:rPr>
        <w:t>Takeaways</w:t>
      </w:r>
    </w:p>
    <w:p>
      <w:pPr>
        <w:pStyle w:val="ListBullet"/>
        <w:spacing w:after="40"/>
      </w:pPr>
      <w:r>
        <w:rPr>
          <w:sz w:val="22"/>
        </w:rPr>
        <w:t>Volume is climbing. Weekly scans in May ran roughly five times higher than in February. We expect continued growth as more Prepacks ship.</w:t>
      </w:r>
    </w:p>
    <w:p>
      <w:pPr>
        <w:pStyle w:val="ListBullet"/>
        <w:spacing w:after="40"/>
      </w:pPr>
      <w:r>
        <w:rPr>
          <w:sz w:val="22"/>
        </w:rPr>
        <w:t>The customers we can identify match the use case the codes were designed for — reordering a specific part they already have on hand.</w:t>
      </w:r>
    </w:p>
    <w:p>
      <w:pPr>
        <w:pStyle w:val="ListBullet"/>
        <w:spacing w:after="40"/>
      </w:pPr>
      <w:r>
        <w:rPr>
          <w:sz w:val="22"/>
        </w:rPr>
        <w:t>Most scans are short, which is normal. The 31% who go deeper show real purchase intent — spec filtering, image expansion, and items added to the order pad.</w:t>
      </w:r>
    </w:p>
    <w:p>
      <w:pPr>
        <w:pStyle w:val="ListBullet"/>
        <w:spacing w:after="40"/>
      </w:pPr>
      <w:r>
        <w:rPr>
          <w:sz w:val="22"/>
        </w:rPr>
        <w:t>Twenty-nine parts came up more than once. These are the parts worth a closer look as we think about better labeling, reorder prompts, or new packaging formats.</w:t>
      </w:r>
    </w:p>
    <w:sectPr w:rsidR="00FC693F" w:rsidRPr="0006063C" w:rsidSect="00034616">
      <w:pgSz w:w="12240" w:h="15840"/>
      <w:pgMar w:top="1296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