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2F4A7C"/>
          <w:sz w:val="40"/>
        </w:rPr>
        <w:t>Updating Shipping Location View Rules</w:t>
      </w:r>
    </w:p>
    <w:p>
      <w:pPr>
        <w:spacing w:after="280"/>
        <w:pBdr>
          <w:bottom w:val="single" w:sz="8" w:color="2F4A7C"/>
        </w:pBdr>
      </w:pPr>
      <w:r>
        <w:rPr>
          <w:color w:val="555555"/>
          <w:sz w:val="22"/>
        </w:rPr>
        <w:t>Follow-up to the sprint eligibility analysis</w:t>
      </w:r>
    </w:p>
    <w:p>
      <w:pPr>
        <w:spacing w:after="280"/>
      </w:pPr>
      <w:r>
        <w:rPr>
          <w:color w:val="888888"/>
        </w:rPr>
        <w:t>[Intro paragraph]</w:t>
      </w:r>
    </w:p>
    <w:p>
      <w:pPr>
        <w:spacing w:before="40" w:after="80"/>
      </w:pPr>
      <w:r>
        <w:rPr>
          <w:b/>
          <w:color w:val="2F4A7C"/>
          <w:sz w:val="28"/>
        </w:rPr>
        <w:t>1. Raising the Contact-Count Threshold</w:t>
      </w:r>
    </w:p>
    <w:p>
      <w:pPr>
        <w:spacing w:after="120"/>
      </w:pPr>
      <w:r>
        <w:rPr>
          <w:sz w:val="22"/>
        </w:rPr>
        <w:t>The current rule excludes any customer location with 10 or more active ordering contacts. The table shows how many additional customer locations and orders would be included at each higher threshold, and what would remain excluded even at 50 contacts.</w:t>
      </w:r>
    </w:p>
    <w:tbl>
      <w:tblPr>
        <w:tblW w:type="auto" w:w="0"/>
        <w:jc w:val="left"/>
        <w:tblLook w:firstColumn="1" w:firstRow="1" w:lastColumn="0" w:lastRow="0" w:noHBand="0" w:noVBand="1" w:val="04A0"/>
      </w:tblPr>
      <w:tblGrid>
        <w:gridCol w:w="2160"/>
        <w:gridCol w:w="2016"/>
        <w:gridCol w:w="1440"/>
        <w:gridCol w:w="2880"/>
        <w:gridCol w:w="2448"/>
        <w:gridCol w:w="1584"/>
      </w:tblGrid>
      <w:tr>
        <w:trPr>
          <w:trHeight w:val="440" w:hRule="atLeast"/>
        </w:trPr>
        <w:tc>
          <w:tcPr>
            <w:tcW w:type="dxa" w:w="2160"/>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Threshold</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 CMFs</w:t>
            </w:r>
          </w:p>
        </w:tc>
        <w:tc>
          <w:tcPr>
            <w:tcW w:type="dxa" w:w="288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Orders (cumulative)</w:t>
            </w:r>
          </w:p>
        </w:tc>
        <w:tc>
          <w:tcPr>
            <w:tcW w:type="dxa" w:w="2448"/>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Marginal Orders (Δ)</w:t>
            </w:r>
          </w:p>
        </w:tc>
        <w:tc>
          <w:tcPr>
            <w:tcW w:type="dxa" w:w="158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 of Orders</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10 (current)</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532,692</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97.7%</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12,696,477</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baseline</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74.8%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12</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536,042</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98.4%</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13,207,047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+510,570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77.8%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15</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538,906</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98.9%</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13,717,234</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+510,187</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80.8%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20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541,297</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99.3%</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14,226,992</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+509,758</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83.8%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25</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542,518</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99.5%</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14,554,315</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+327,323</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85.7%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50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544,279</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99.9%</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15,232,307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+678,000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89.7%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50+ (stays out)</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751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0.1%</w:t>
            </w:r>
          </w:p>
        </w:tc>
        <w:tc>
          <w:tcPr>
            <w:tcW w:type="dxa" w:w="288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w:t>
            </w:r>
          </w:p>
        </w:tc>
        <w:tc>
          <w:tcPr>
            <w:tcW w:type="dxa" w:w="244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1,752,777</w:t>
            </w:r>
          </w:p>
        </w:tc>
        <w:tc>
          <w:tcPr>
            <w:tcW w:type="dxa" w:w="158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10.3%</w:t>
            </w:r>
          </w:p>
        </w:tc>
      </w:tr>
    </w:tbl>
    <w:p>
      <w:pPr>
        <w:spacing w:before="320" w:after="80"/>
      </w:pPr>
      <w:r>
        <w:rPr>
          <w:b/>
          <w:color w:val="2F4A7C"/>
          <w:sz w:val="28"/>
        </w:rPr>
        <w:t>2. Excluded List Codes by Contact Count</w:t>
      </w:r>
    </w:p>
    <w:p>
      <w:pPr>
        <w:spacing w:after="120"/>
      </w:pPr>
      <w:r>
        <w:rPr>
          <w:sz w:val="22"/>
        </w:rPr>
        <w:t>The list codes below are excluded from Shipping Location View. For each, the number of customer locations and orders are broken out by active-contact range.</w:t>
      </w:r>
    </w:p>
    <w:tbl>
      <w:tblPr>
        <w:tblW w:type="auto" w:w="0"/>
        <w:jc w:val="left"/>
        <w:tblLook w:firstColumn="1" w:firstRow="1" w:lastColumn="0" w:lastRow="0" w:noHBand="0" w:noVBand="1" w:val="04A0"/>
      </w:tblPr>
      <w:tblGrid>
        <w:gridCol w:w="1008"/>
        <w:gridCol w:w="3312"/>
        <w:gridCol w:w="1224"/>
        <w:gridCol w:w="1080"/>
        <w:gridCol w:w="1224"/>
        <w:gridCol w:w="1080"/>
        <w:gridCol w:w="1440"/>
        <w:gridCol w:w="1224"/>
        <w:gridCol w:w="1368"/>
        <w:gridCol w:w="1224"/>
      </w:tblGrid>
      <w:tr>
        <w:trPr>
          <w:trHeight w:val="440" w:hRule="atLeast"/>
        </w:trPr>
        <w:tc>
          <w:tcPr>
            <w:tcW w:type="dxa" w:w="1008"/>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0"/>
              </w:rPr>
              <w:t>List Code</w:t>
            </w:r>
          </w:p>
        </w:tc>
        <w:tc>
          <w:tcPr>
            <w:tcW w:type="dxa" w:w="3312"/>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0"/>
              </w:rPr>
              <w:t>Category</w:t>
            </w:r>
          </w:p>
        </w:tc>
        <w:tc>
          <w:tcPr>
            <w:tcW w:type="dxa" w:w="122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0"/>
              </w:rPr>
              <w:t>Total CMFs</w:t>
            </w:r>
          </w:p>
        </w:tc>
        <w:tc>
          <w:tcPr>
            <w:tcW w:type="dxa" w:w="108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0"/>
              </w:rPr>
              <w:t>CMFs &lt;10</w:t>
            </w:r>
          </w:p>
        </w:tc>
        <w:tc>
          <w:tcPr>
            <w:tcW w:type="dxa" w:w="122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0"/>
              </w:rPr>
              <w:t>CMFs 10–25</w:t>
            </w:r>
          </w:p>
        </w:tc>
        <w:tc>
          <w:tcPr>
            <w:tcW w:type="dxa" w:w="108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0"/>
              </w:rPr>
              <w:t>CMFs 25+</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0"/>
              </w:rPr>
              <w:t>Total Orders</w:t>
            </w:r>
          </w:p>
        </w:tc>
        <w:tc>
          <w:tcPr>
            <w:tcW w:type="dxa" w:w="122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0"/>
              </w:rPr>
              <w:t>Orders &lt;10</w:t>
            </w:r>
          </w:p>
        </w:tc>
        <w:tc>
          <w:tcPr>
            <w:tcW w:type="dxa" w:w="1368"/>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0"/>
              </w:rPr>
              <w:t>Orders 10–25</w:t>
            </w:r>
          </w:p>
        </w:tc>
        <w:tc>
          <w:tcPr>
            <w:tcW w:type="dxa" w:w="122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0"/>
              </w:rPr>
              <w:t>Orders 25+</w:t>
            </w:r>
          </w:p>
        </w:tc>
      </w:tr>
      <w:tr>
        <w:trPr>
          <w:trHeight w:val="400" w:hRule="atLeast"/>
        </w:trPr>
        <w:tc>
          <w:tcPr>
            <w:tcW w:type="dxa" w:w="1008"/>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0"/>
              </w:rPr>
              <w:t>05</w:t>
            </w:r>
          </w:p>
        </w:tc>
        <w:tc>
          <w:tcPr>
            <w:tcW w:type="dxa" w:w="3312"/>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0"/>
              </w:rPr>
              <w:t>Federal Gov (Domestic)</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3,032</w:t>
            </w:r>
          </w:p>
        </w:tc>
        <w:tc>
          <w:tcPr>
            <w:tcW w:type="dxa" w:w="10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2,924</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87</w:t>
            </w:r>
          </w:p>
        </w:tc>
        <w:tc>
          <w:tcPr>
            <w:tcW w:type="dxa" w:w="10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21</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58,169</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23,278</w:t>
            </w:r>
          </w:p>
        </w:tc>
        <w:tc>
          <w:tcPr>
            <w:tcW w:type="dxa" w:w="136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11,401</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23,490</w:t>
            </w:r>
          </w:p>
        </w:tc>
      </w:tr>
      <w:tr>
        <w:trPr>
          <w:trHeight w:val="400" w:hRule="atLeast"/>
        </w:trPr>
        <w:tc>
          <w:tcPr>
            <w:tcW w:type="dxa" w:w="1008"/>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0"/>
              </w:rPr>
              <w:t>06</w:t>
            </w:r>
          </w:p>
        </w:tc>
        <w:tc>
          <w:tcPr>
            <w:tcW w:type="dxa" w:w="3312"/>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0"/>
              </w:rPr>
              <w:t>Federal Gov (APO/FPO)</w:t>
            </w:r>
          </w:p>
        </w:tc>
        <w:tc>
          <w:tcPr>
            <w:tcW w:type="dxa" w:w="122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186</w:t>
            </w:r>
          </w:p>
        </w:tc>
        <w:tc>
          <w:tcPr>
            <w:tcW w:type="dxa" w:w="10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185</w:t>
            </w:r>
          </w:p>
        </w:tc>
        <w:tc>
          <w:tcPr>
            <w:tcW w:type="dxa" w:w="122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1</w:t>
            </w:r>
          </w:p>
        </w:tc>
        <w:tc>
          <w:tcPr>
            <w:tcW w:type="dxa" w:w="10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0</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786</w:t>
            </w:r>
          </w:p>
        </w:tc>
        <w:tc>
          <w:tcPr>
            <w:tcW w:type="dxa" w:w="122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705</w:t>
            </w:r>
          </w:p>
        </w:tc>
        <w:tc>
          <w:tcPr>
            <w:tcW w:type="dxa" w:w="136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81</w:t>
            </w:r>
          </w:p>
        </w:tc>
        <w:tc>
          <w:tcPr>
            <w:tcW w:type="dxa" w:w="122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0</w:t>
            </w:r>
          </w:p>
        </w:tc>
      </w:tr>
      <w:tr>
        <w:trPr>
          <w:trHeight w:val="400" w:hRule="atLeast"/>
        </w:trPr>
        <w:tc>
          <w:tcPr>
            <w:tcW w:type="dxa" w:w="1008"/>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0"/>
              </w:rPr>
              <w:t>07</w:t>
            </w:r>
          </w:p>
        </w:tc>
        <w:tc>
          <w:tcPr>
            <w:tcW w:type="dxa" w:w="3312"/>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0"/>
              </w:rPr>
              <w:t>State Gov</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6,798</w:t>
            </w:r>
          </w:p>
        </w:tc>
        <w:tc>
          <w:tcPr>
            <w:tcW w:type="dxa" w:w="10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6,282</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382</w:t>
            </w:r>
          </w:p>
        </w:tc>
        <w:tc>
          <w:tcPr>
            <w:tcW w:type="dxa" w:w="10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134</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184,911</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86,816</w:t>
            </w:r>
          </w:p>
        </w:tc>
        <w:tc>
          <w:tcPr>
            <w:tcW w:type="dxa" w:w="136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43,295</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54,800</w:t>
            </w:r>
          </w:p>
        </w:tc>
      </w:tr>
      <w:tr>
        <w:trPr>
          <w:trHeight w:val="400" w:hRule="atLeast"/>
        </w:trPr>
        <w:tc>
          <w:tcPr>
            <w:tcW w:type="dxa" w:w="1008"/>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0"/>
              </w:rPr>
              <w:t>08</w:t>
            </w:r>
          </w:p>
        </w:tc>
        <w:tc>
          <w:tcPr>
            <w:tcW w:type="dxa" w:w="3312"/>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0"/>
              </w:rPr>
              <w:t>Municipal / Private Institute</w:t>
            </w:r>
          </w:p>
        </w:tc>
        <w:tc>
          <w:tcPr>
            <w:tcW w:type="dxa" w:w="122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16,009</w:t>
            </w:r>
          </w:p>
        </w:tc>
        <w:tc>
          <w:tcPr>
            <w:tcW w:type="dxa" w:w="10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15,787</w:t>
            </w:r>
          </w:p>
        </w:tc>
        <w:tc>
          <w:tcPr>
            <w:tcW w:type="dxa" w:w="122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176</w:t>
            </w:r>
          </w:p>
        </w:tc>
        <w:tc>
          <w:tcPr>
            <w:tcW w:type="dxa" w:w="10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46</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222,199</w:t>
            </w:r>
          </w:p>
        </w:tc>
        <w:tc>
          <w:tcPr>
            <w:tcW w:type="dxa" w:w="122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151,639</w:t>
            </w:r>
          </w:p>
        </w:tc>
        <w:tc>
          <w:tcPr>
            <w:tcW w:type="dxa" w:w="136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22,623</w:t>
            </w:r>
          </w:p>
        </w:tc>
        <w:tc>
          <w:tcPr>
            <w:tcW w:type="dxa" w:w="122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0"/>
              </w:rPr>
              <w:t>47,937</w:t>
            </w:r>
          </w:p>
        </w:tc>
      </w:tr>
      <w:tr>
        <w:trPr>
          <w:trHeight w:val="400" w:hRule="atLeast"/>
        </w:trPr>
        <w:tc>
          <w:tcPr>
            <w:tcW w:type="dxa" w:w="1008"/>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0"/>
              </w:rPr>
              <w:t>09</w:t>
            </w:r>
          </w:p>
        </w:tc>
        <w:tc>
          <w:tcPr>
            <w:tcW w:type="dxa" w:w="3312"/>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0"/>
              </w:rPr>
              <w:t>Private College / University</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2,423</w:t>
            </w:r>
          </w:p>
        </w:tc>
        <w:tc>
          <w:tcPr>
            <w:tcW w:type="dxa" w:w="10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2,160</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171</w:t>
            </w:r>
          </w:p>
        </w:tc>
        <w:tc>
          <w:tcPr>
            <w:tcW w:type="dxa" w:w="10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92</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112,332</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32,102</w:t>
            </w:r>
          </w:p>
        </w:tc>
        <w:tc>
          <w:tcPr>
            <w:tcW w:type="dxa" w:w="136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17,286</w:t>
            </w:r>
          </w:p>
        </w:tc>
        <w:tc>
          <w:tcPr>
            <w:tcW w:type="dxa" w:w="122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0"/>
              </w:rPr>
              <w:t>62,944</w:t>
            </w:r>
          </w:p>
        </w:tc>
      </w:tr>
      <w:tr>
        <w:trPr>
          <w:trHeight w:val="400" w:hRule="atLeast"/>
        </w:trPr>
        <w:tc>
          <w:tcPr>
            <w:tcW w:type="dxa" w:w="100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0"/>
              </w:rPr>
              <w:t>15</w:t>
            </w:r>
          </w:p>
        </w:tc>
        <w:tc>
          <w:tcPr>
            <w:tcW w:type="dxa" w:w="3312"/>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0"/>
              </w:rPr>
              <w:t>McMaster-Carr Internal</w:t>
            </w:r>
          </w:p>
        </w:tc>
        <w:tc>
          <w:tcPr>
            <w:tcW w:type="dxa" w:w="122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5</w:t>
            </w:r>
          </w:p>
        </w:tc>
        <w:tc>
          <w:tcPr>
            <w:tcW w:type="dxa" w:w="108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0</w:t>
            </w:r>
          </w:p>
        </w:tc>
        <w:tc>
          <w:tcPr>
            <w:tcW w:type="dxa" w:w="122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0</w:t>
            </w:r>
          </w:p>
        </w:tc>
        <w:tc>
          <w:tcPr>
            <w:tcW w:type="dxa" w:w="108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5</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42,130</w:t>
            </w:r>
          </w:p>
        </w:tc>
        <w:tc>
          <w:tcPr>
            <w:tcW w:type="dxa" w:w="122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0</w:t>
            </w:r>
          </w:p>
        </w:tc>
        <w:tc>
          <w:tcPr>
            <w:tcW w:type="dxa" w:w="136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0</w:t>
            </w:r>
          </w:p>
        </w:tc>
        <w:tc>
          <w:tcPr>
            <w:tcW w:type="dxa" w:w="122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42,130</w:t>
            </w:r>
          </w:p>
        </w:tc>
      </w:tr>
      <w:tr>
        <w:trPr>
          <w:trHeight w:val="400" w:hRule="atLeast"/>
        </w:trPr>
        <w:tc>
          <w:tcPr>
            <w:tcW w:type="dxa" w:w="100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0"/>
              </w:rPr>
              <w:t>—</w:t>
            </w:r>
          </w:p>
        </w:tc>
        <w:tc>
          <w:tcPr>
            <w:tcW w:type="dxa" w:w="3312"/>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0"/>
              </w:rPr>
              <w:t>Total</w:t>
            </w:r>
          </w:p>
        </w:tc>
        <w:tc>
          <w:tcPr>
            <w:tcW w:type="dxa" w:w="122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28,453</w:t>
            </w:r>
          </w:p>
        </w:tc>
        <w:tc>
          <w:tcPr>
            <w:tcW w:type="dxa" w:w="108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27,338</w:t>
            </w:r>
          </w:p>
        </w:tc>
        <w:tc>
          <w:tcPr>
            <w:tcW w:type="dxa" w:w="122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817</w:t>
            </w:r>
          </w:p>
        </w:tc>
        <w:tc>
          <w:tcPr>
            <w:tcW w:type="dxa" w:w="108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298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620,527</w:t>
            </w:r>
          </w:p>
        </w:tc>
        <w:tc>
          <w:tcPr>
            <w:tcW w:type="dxa" w:w="122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294,540</w:t>
            </w:r>
          </w:p>
        </w:tc>
        <w:tc>
          <w:tcPr>
            <w:tcW w:type="dxa" w:w="136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94,686</w:t>
            </w:r>
          </w:p>
        </w:tc>
        <w:tc>
          <w:tcPr>
            <w:tcW w:type="dxa" w:w="122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0"/>
              </w:rPr>
              <w:t>231,301</w:t>
            </w:r>
          </w:p>
        </w:tc>
      </w:tr>
    </w:tbl>
    <w:sectPr w:rsidR="00FC693F" w:rsidRPr="0006063C" w:rsidSect="00034616">
      <w:pgSz w:w="15840" w:h="12240" w:orient="landscape"/>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