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8338" cy="5441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8338" cy="544139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5441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20_Date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Get the lowest "Salary" from EmployeeDetail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Show "JoiningDate" in "dd mmm yyyy" format, ex- "15 Feb 2013"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Show "JoiningDate" in "yyyy/mm/dd" format, ex- "2013/02/15"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4063" cy="56301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4063" cy="56301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063" cy="563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</w:rPr>
        <w:drawing>
          <wp:inline distB="114300" distT="114300" distL="114300" distR="114300">
            <wp:extent cx="6548690" cy="46930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690" cy="469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397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5E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- 20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sr3TLDAYKCd5//xKvVcNIy9vmg==">CgMxLjA4AHIhMTA5Q1NFdmtJRW5pQ2VQbUVRVzJTSjItbnFzOFBDemQz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