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76913" cy="57271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76913" cy="572714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6913" cy="5727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23_Date in pyspark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Write a pyspark code perform below function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 all employee details from EmployeeDetail table whose joining month is Jan(1).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 all employee details from EmployeeDetail table whose joining date between 2013-01-01" and "2013-12-01".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 how many employee exist in "EmployeeDetail" table.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Select all employee detail with First name "Vikas","Ashish", and "Nikhil".</w:t>
        <w:tab/>
      </w:r>
    </w:p>
    <w:p w:rsidR="00000000" w:rsidDel="00000000" w:rsidP="00000000" w:rsidRDefault="00000000" w:rsidRPr="00000000" w14:paraId="00000009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A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62638" cy="591592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62638" cy="591592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2638" cy="5915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2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2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2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2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2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2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list of rows from the image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emp_df=spark.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(data,schema)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5731200" cy="1320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</w:rPr>
        <w:drawing>
          <wp:inline distB="114300" distT="114300" distL="114300" distR="114300">
            <wp:extent cx="6399425" cy="246622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9425" cy="2466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2006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6546041" cy="2827194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6041" cy="2827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6286500" cy="231460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14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6A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- 23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21" Type="http://schemas.openxmlformats.org/officeDocument/2006/relationships/footer" Target="footer2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7F8Av2vvwUQyXvZeM/ZbkQXDZw==">CgMxLjA4AHIhMTg1ekF0U2tTS2Zob3Zzb19xalJwRG5iMWo2V3RJb3FR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