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Report -- Umbrella Corp</w:t>
      </w:r>
    </w:p>
    <w:p>
      <w:r>
        <w:t>Umbrella Corp — Security Trust Services Report</w:t>
      </w:r>
    </w:p>
    <w:p>
      <w:r>
        <w:t>Reporting period: the twelve months ended March 31.</w:t>
      </w:r>
    </w:p>
    <w:p/>
    <w:p>
      <w:r>
        <w:t>CC6.1 — Logical and Physical Access Controls: Multi-factor authentication is required for all employees accessing internal systems that touch customer data.</w:t>
      </w:r>
    </w:p>
    <w:p/>
    <w:p>
      <w:r>
        <w:t>CC6.8 — Log Retention: Security-relevant logs are retained for 90 days.</w:t>
      </w:r>
    </w:p>
    <w:p/>
    <w:p>
      <w:r>
        <w:t>CC7.2 — Security Monitoring: A managed detection and response vendor monitors our production environment around the clock.</w:t>
      </w:r>
    </w:p>
    <w:p/>
    <w:p>
      <w:r>
        <w:t>This report is provided to Umbrella Corp customers under NDA for vendor risk assessment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