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Report -- Cloudy SaaS Inc</w:t>
      </w:r>
    </w:p>
    <w:p>
      <w:r>
        <w:t>Cloudy SaaS Inc — Security, Availability, and Confidentiality Trust Services Report</w:t>
      </w:r>
    </w:p>
    <w:p>
      <w:r>
        <w:t>Reporting period: the twelve months ended June 30.</w:t>
      </w:r>
    </w:p>
    <w:p/>
    <w:p>
      <w:r>
        <w:t>CC6.1 — Logical and Physical Access Controls: We enforce multi-factor authentication for all employee access to production systems, without exception. MFA is required at both the VPN and SSO layer before any engineer can reach a production credential.</w:t>
      </w:r>
    </w:p>
    <w:p/>
    <w:p>
      <w:r>
        <w:t>CC6.8 — Log Retention: Production audit logs are retained for 30 days in hot storage before rolling off to cold archive. This is reviewed annually against customer contractual requirements.</w:t>
      </w:r>
    </w:p>
    <w:p/>
    <w:p>
      <w:r>
        <w:t>CC7.2 — Security Monitoring: Continuous monitoring is in place across production infrastructure via a centralized SIEM, with on-call paging for anomalies.</w:t>
      </w:r>
    </w:p>
    <w:p/>
    <w:p>
      <w:r>
        <w:t>This report is provided to Cloudy SaaS Inc customers under NDA for vendor risk assessment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