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234" w:rsidRPr="001E201E" w:rsidRDefault="001E201E">
      <w:pPr>
        <w:spacing w:after="80"/>
        <w:jc w:val="center"/>
      </w:pPr>
      <w:r w:rsidRPr="001E201E">
        <w:rPr>
          <w:b/>
          <w:bCs/>
          <w:sz w:val="40"/>
          <w:szCs w:val="40"/>
        </w:rPr>
        <w:t>Business Insights Report</w:t>
      </w:r>
    </w:p>
    <w:p w:rsidR="00701234" w:rsidRDefault="001E201E">
      <w:pPr>
        <w:spacing w:after="60"/>
        <w:jc w:val="center"/>
      </w:pPr>
      <w:r>
        <w:rPr>
          <w:color w:val="555555"/>
        </w:rPr>
        <w:t xml:space="preserve">Superstore Sales Dataset  </w:t>
      </w:r>
    </w:p>
    <w:p w:rsidR="00701234" w:rsidRDefault="001E201E">
      <w:pPr>
        <w:spacing w:after="60"/>
        <w:jc w:val="center"/>
        <w:rPr>
          <w:color w:val="555555"/>
        </w:rPr>
      </w:pPr>
      <w:r>
        <w:rPr>
          <w:color w:val="555555"/>
        </w:rPr>
        <w:t xml:space="preserve">Data Analytics &amp; BI Internship – Task </w:t>
      </w:r>
      <w:proofErr w:type="gramStart"/>
      <w:r>
        <w:rPr>
          <w:color w:val="555555"/>
        </w:rPr>
        <w:t>1,</w:t>
      </w:r>
      <w:r>
        <w:rPr>
          <w:color w:val="555555"/>
        </w:rPr>
        <w:t>Maincrafts</w:t>
      </w:r>
      <w:proofErr w:type="gramEnd"/>
      <w:r>
        <w:rPr>
          <w:color w:val="555555"/>
        </w:rPr>
        <w:t xml:space="preserve"> Technology</w:t>
      </w:r>
    </w:p>
    <w:p w:rsidR="001E201E" w:rsidRDefault="001E201E">
      <w:pPr>
        <w:spacing w:after="60"/>
        <w:jc w:val="center"/>
      </w:pPr>
    </w:p>
    <w:p w:rsidR="00701234" w:rsidRPr="001E201E" w:rsidRDefault="001E201E">
      <w:pPr>
        <w:spacing w:before="80" w:after="60"/>
      </w:pPr>
      <w:r w:rsidRPr="001E201E">
        <w:rPr>
          <w:b/>
          <w:bCs/>
        </w:rPr>
        <w:t>Key Performance Indicators (FY 2023)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Total Sales: </w:t>
      </w:r>
      <w:r>
        <w:t>$2,63,274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Total Profit: </w:t>
      </w:r>
      <w:r>
        <w:t>$36,093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Total Orders: </w:t>
      </w:r>
      <w:r>
        <w:t>319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Average Order Value: </w:t>
      </w:r>
      <w:r>
        <w:t>$825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Overall Profit Margin: </w:t>
      </w:r>
      <w:r>
        <w:t>13.7%</w:t>
      </w:r>
    </w:p>
    <w:p w:rsidR="00701234" w:rsidRPr="001E201E" w:rsidRDefault="001E201E">
      <w:pPr>
        <w:pStyle w:val="Heading2"/>
        <w:pBdr>
          <w:bottom w:val="single" w:sz="4" w:space="4" w:color="CCCCCC"/>
        </w:pBdr>
        <w:rPr>
          <w:color w:val="auto"/>
        </w:rPr>
      </w:pPr>
      <w:r w:rsidRPr="001E201E">
        <w:rPr>
          <w:color w:val="auto"/>
        </w:rPr>
        <w:t>Q1. Which region generates the highest sales?</w:t>
      </w:r>
    </w:p>
    <w:p w:rsidR="00701234" w:rsidRDefault="00701234">
      <w:pPr>
        <w:spacing w:before="60" w:after="60"/>
      </w:pPr>
    </w:p>
    <w:p w:rsidR="00701234" w:rsidRDefault="001E201E">
      <w:pPr>
        <w:spacing w:before="60" w:after="60"/>
      </w:pPr>
      <w:r>
        <w:rPr>
          <w:b/>
          <w:bCs/>
          <w:color w:val="000000"/>
        </w:rPr>
        <w:t>N</w:t>
      </w:r>
      <w:r>
        <w:rPr>
          <w:b/>
          <w:bCs/>
          <w:color w:val="000000"/>
        </w:rPr>
        <w:t>orth region leads in total sales</w:t>
      </w:r>
      <w:r>
        <w:t xml:space="preserve"> at $69,914, followed closely by East ($69,243) and West ($68,967). South is the weakest region with $55,150 — a 21% gap</w:t>
      </w:r>
      <w:r>
        <w:t xml:space="preserve"> below North.</w:t>
      </w:r>
    </w:p>
    <w:p w:rsidR="00701234" w:rsidRDefault="00701234">
      <w:pPr>
        <w:spacing w:before="60" w:after="60"/>
      </w:pPr>
    </w:p>
    <w:p w:rsidR="00701234" w:rsidRDefault="001E201E">
      <w:pPr>
        <w:spacing w:before="60" w:after="60"/>
      </w:pPr>
      <w:r>
        <w:rPr>
          <w:b/>
          <w:bCs/>
          <w:color w:val="000000"/>
        </w:rPr>
        <w:t>However, East delivers the highest profit</w:t>
      </w:r>
      <w:r>
        <w:t xml:space="preserve"> at $9,716 despite ranking second in sales. This indicates better order quality and margin management in the East region. South, though lowest in sales, shows the highest profit margin at 15.2%.</w:t>
      </w:r>
    </w:p>
    <w:p w:rsidR="00701234" w:rsidRDefault="00701234">
      <w:pPr>
        <w:spacing w:before="60" w:after="60"/>
      </w:pPr>
    </w:p>
    <w:p w:rsidR="00701234" w:rsidRDefault="001E201E">
      <w:pPr>
        <w:spacing w:before="60" w:after="60"/>
      </w:pPr>
      <w:r>
        <w:rPr>
          <w:b/>
          <w:bCs/>
          <w:color w:val="000000"/>
        </w:rPr>
        <w:t>Regi</w:t>
      </w:r>
      <w:r>
        <w:rPr>
          <w:b/>
          <w:bCs/>
          <w:color w:val="000000"/>
        </w:rPr>
        <w:t>on-wise summary: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North — </w:t>
      </w:r>
      <w:r>
        <w:t>$69,914 sales | $8,561 profit | 77 orders | 12.2% margin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East — </w:t>
      </w:r>
      <w:r>
        <w:t xml:space="preserve">$69,243 sales | $9,716 profit | 89 orders | 14.0% </w:t>
      </w:r>
      <w:proofErr w:type="gramStart"/>
      <w:r>
        <w:t>margin  ★</w:t>
      </w:r>
      <w:proofErr w:type="gramEnd"/>
      <w:r>
        <w:t xml:space="preserve"> Highest profit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West — </w:t>
      </w:r>
      <w:r>
        <w:t>$68,967 sales | $9,450 profit | 75 orders | 13.7% margin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South — </w:t>
      </w:r>
      <w:r>
        <w:t>$55,150 sales | $8,3</w:t>
      </w:r>
      <w:r>
        <w:t xml:space="preserve">66 profit | 78 orders | 15.2% </w:t>
      </w:r>
      <w:proofErr w:type="gramStart"/>
      <w:r>
        <w:t>margin  ★</w:t>
      </w:r>
      <w:proofErr w:type="gramEnd"/>
      <w:r>
        <w:t xml:space="preserve"> Highest margin</w:t>
      </w:r>
    </w:p>
    <w:p w:rsidR="00701234" w:rsidRDefault="00701234">
      <w:pPr>
        <w:spacing w:before="60" w:after="60"/>
      </w:pPr>
    </w:p>
    <w:p w:rsidR="00701234" w:rsidRDefault="001E201E">
      <w:pPr>
        <w:spacing w:before="60" w:after="60"/>
      </w:pPr>
      <w:r>
        <w:rPr>
          <w:b/>
          <w:bCs/>
          <w:color w:val="000000"/>
        </w:rPr>
        <w:t xml:space="preserve">Insight: </w:t>
      </w:r>
      <w:r>
        <w:t>Revenue and profitability do not always align. North's volume leadership does not translate to the best margins. East is the most efficient region overall.</w:t>
      </w:r>
    </w:p>
    <w:p w:rsidR="001E201E" w:rsidRDefault="001E201E">
      <w:pPr>
        <w:spacing w:before="60" w:after="60"/>
      </w:pPr>
    </w:p>
    <w:p w:rsidR="00701234" w:rsidRPr="001E201E" w:rsidRDefault="001E201E">
      <w:pPr>
        <w:pStyle w:val="Heading2"/>
        <w:pBdr>
          <w:bottom w:val="single" w:sz="4" w:space="4" w:color="CCCCCC"/>
        </w:pBdr>
        <w:rPr>
          <w:color w:val="auto"/>
        </w:rPr>
      </w:pPr>
      <w:r w:rsidRPr="001E201E">
        <w:rPr>
          <w:color w:val="auto"/>
        </w:rPr>
        <w:t>Q2. Which category is most profitable?</w:t>
      </w:r>
      <w:r>
        <w:rPr>
          <w:color w:val="auto"/>
        </w:rPr>
        <w:t xml:space="preserve"> </w:t>
      </w:r>
    </w:p>
    <w:p w:rsidR="00701234" w:rsidRDefault="00701234">
      <w:pPr>
        <w:spacing w:before="60" w:after="60"/>
      </w:pPr>
    </w:p>
    <w:p w:rsidR="00701234" w:rsidRDefault="001E201E">
      <w:pPr>
        <w:spacing w:before="60" w:after="60"/>
      </w:pPr>
      <w:r>
        <w:rPr>
          <w:b/>
          <w:bCs/>
          <w:color w:val="000000"/>
        </w:rPr>
        <w:t>F</w:t>
      </w:r>
      <w:r>
        <w:rPr>
          <w:b/>
          <w:bCs/>
          <w:color w:val="000000"/>
        </w:rPr>
        <w:t>urniture is the most profitable category</w:t>
      </w:r>
      <w:r>
        <w:t xml:space="preserve"> generating $21,877 in profit from $1,60,270 in sales — accounting for 60.9% of total revenue. Technology follows with $12,143 profit at the best margin rate of 14.0%.</w:t>
      </w:r>
    </w:p>
    <w:p w:rsidR="00701234" w:rsidRDefault="00701234">
      <w:pPr>
        <w:spacing w:before="60" w:after="60"/>
      </w:pPr>
    </w:p>
    <w:p w:rsidR="00701234" w:rsidRDefault="001E201E">
      <w:pPr>
        <w:spacing w:before="60" w:after="60"/>
      </w:pPr>
      <w:r>
        <w:rPr>
          <w:b/>
          <w:bCs/>
          <w:color w:val="000000"/>
        </w:rPr>
        <w:t>Catego</w:t>
      </w:r>
      <w:r>
        <w:rPr>
          <w:b/>
          <w:bCs/>
          <w:color w:val="000000"/>
        </w:rPr>
        <w:t>ry-wise summary: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Furniture — </w:t>
      </w:r>
      <w:r>
        <w:t>$1,60,270 sales | $21,877 profit | 13.7% margin | 60.9% revenue share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Technology — </w:t>
      </w:r>
      <w:r>
        <w:t xml:space="preserve">$86,571 sales | $12,143 profit | 14.0% </w:t>
      </w:r>
      <w:proofErr w:type="gramStart"/>
      <w:r>
        <w:t>margin  ★</w:t>
      </w:r>
      <w:proofErr w:type="gramEnd"/>
      <w:r>
        <w:t xml:space="preserve"> Highest margin %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Office Supplies — </w:t>
      </w:r>
      <w:r>
        <w:t>$16,434 sales | $2,073 profit | 12.6% margin | 6.2% revenue share</w:t>
      </w:r>
    </w:p>
    <w:p w:rsidR="00701234" w:rsidRDefault="00701234">
      <w:pPr>
        <w:spacing w:before="60" w:after="60"/>
      </w:pPr>
    </w:p>
    <w:p w:rsidR="00701234" w:rsidRDefault="001E201E">
      <w:pPr>
        <w:spacing w:before="60" w:after="60"/>
      </w:pPr>
      <w:r>
        <w:rPr>
          <w:b/>
          <w:bCs/>
          <w:color w:val="000000"/>
        </w:rPr>
        <w:t xml:space="preserve">Insight: </w:t>
      </w:r>
      <w:r>
        <w:t>While Furniture contributes the most absolute profit, Technology has the strongest margin. Office Supplies underperforms on both metrics and warrants a pricing or product mix revie</w:t>
      </w:r>
      <w:r>
        <w:t>w.</w:t>
      </w:r>
    </w:p>
    <w:p w:rsidR="001E201E" w:rsidRDefault="001E201E">
      <w:pPr>
        <w:pStyle w:val="Heading2"/>
        <w:pBdr>
          <w:bottom w:val="single" w:sz="4" w:space="4" w:color="CCCCCC"/>
        </w:pBdr>
        <w:rPr>
          <w:color w:val="auto"/>
        </w:rPr>
      </w:pPr>
    </w:p>
    <w:p w:rsidR="00701234" w:rsidRPr="001E201E" w:rsidRDefault="001E201E">
      <w:pPr>
        <w:pStyle w:val="Heading2"/>
        <w:pBdr>
          <w:bottom w:val="single" w:sz="4" w:space="4" w:color="CCCCCC"/>
        </w:pBdr>
        <w:rPr>
          <w:color w:val="auto"/>
        </w:rPr>
      </w:pPr>
      <w:r w:rsidRPr="001E201E">
        <w:rPr>
          <w:color w:val="auto"/>
        </w:rPr>
        <w:lastRenderedPageBreak/>
        <w:t>Q3. Are discounts affecting profit?</w:t>
      </w:r>
    </w:p>
    <w:p w:rsidR="00701234" w:rsidRDefault="00701234">
      <w:pPr>
        <w:spacing w:before="60" w:after="60"/>
      </w:pPr>
    </w:p>
    <w:p w:rsidR="00701234" w:rsidRDefault="001E201E">
      <w:pPr>
        <w:spacing w:before="60" w:after="60"/>
      </w:pPr>
      <w:r>
        <w:rPr>
          <w:b/>
          <w:bCs/>
          <w:color w:val="000000"/>
        </w:rPr>
        <w:t>Yes — discounts are significantly eroding profitability.</w:t>
      </w:r>
      <w:r>
        <w:t xml:space="preserve"> The data shows a clear inverse relationship between discount level and average profit per order.</w:t>
      </w:r>
    </w:p>
    <w:p w:rsidR="00701234" w:rsidRDefault="00701234">
      <w:pPr>
        <w:spacing w:before="60" w:after="60"/>
      </w:pPr>
    </w:p>
    <w:p w:rsidR="00701234" w:rsidRDefault="001E201E">
      <w:pPr>
        <w:spacing w:before="60" w:after="60"/>
      </w:pPr>
      <w:r>
        <w:rPr>
          <w:b/>
          <w:bCs/>
          <w:color w:val="000000"/>
        </w:rPr>
        <w:t>Discount impact breakdown: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0% discount — </w:t>
      </w:r>
      <w:r>
        <w:t xml:space="preserve">$153 </w:t>
      </w:r>
      <w:proofErr w:type="spellStart"/>
      <w:r>
        <w:t>avg</w:t>
      </w:r>
      <w:proofErr w:type="spellEnd"/>
      <w:r>
        <w:t xml:space="preserve"> profit per</w:t>
      </w:r>
      <w:r>
        <w:t xml:space="preserve"> </w:t>
      </w:r>
      <w:proofErr w:type="gramStart"/>
      <w:r>
        <w:t>order  ★</w:t>
      </w:r>
      <w:proofErr w:type="gramEnd"/>
      <w:r>
        <w:t xml:space="preserve"> Best performance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5% discount — </w:t>
      </w:r>
      <w:r>
        <w:t xml:space="preserve">$165 </w:t>
      </w:r>
      <w:proofErr w:type="spellStart"/>
      <w:r>
        <w:t>avg</w:t>
      </w:r>
      <w:proofErr w:type="spellEnd"/>
      <w:r>
        <w:t xml:space="preserve"> profit (marginal improvement due to volume mix)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10% discount — </w:t>
      </w:r>
      <w:r>
        <w:t xml:space="preserve">$166 </w:t>
      </w:r>
      <w:proofErr w:type="spellStart"/>
      <w:r>
        <w:t>avg</w:t>
      </w:r>
      <w:proofErr w:type="spellEnd"/>
      <w:r>
        <w:t xml:space="preserve"> profit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15% discount — </w:t>
      </w:r>
      <w:r>
        <w:t xml:space="preserve">$87 </w:t>
      </w:r>
      <w:proofErr w:type="spellStart"/>
      <w:r>
        <w:t>avg</w:t>
      </w:r>
      <w:proofErr w:type="spellEnd"/>
      <w:r>
        <w:t xml:space="preserve"> profit (43% drop from no-discount baseline)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20% discount — </w:t>
      </w:r>
      <w:r>
        <w:t xml:space="preserve">$46 </w:t>
      </w:r>
      <w:proofErr w:type="spellStart"/>
      <w:r>
        <w:t>avg</w:t>
      </w:r>
      <w:proofErr w:type="spellEnd"/>
      <w:r>
        <w:t xml:space="preserve"> profit (70% drop)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30% discount — </w:t>
      </w:r>
      <w:r>
        <w:t>LOSS</w:t>
      </w:r>
      <w:r>
        <w:t xml:space="preserve"> of −$4.51 </w:t>
      </w:r>
      <w:proofErr w:type="spellStart"/>
      <w:r>
        <w:t>avg</w:t>
      </w:r>
      <w:proofErr w:type="spellEnd"/>
      <w:r>
        <w:t xml:space="preserve"> profit per </w:t>
      </w:r>
      <w:proofErr w:type="gramStart"/>
      <w:r>
        <w:t>order  ★</w:t>
      </w:r>
      <w:proofErr w:type="gramEnd"/>
      <w:r>
        <w:t xml:space="preserve"> Danger zone</w:t>
      </w:r>
    </w:p>
    <w:p w:rsidR="00701234" w:rsidRDefault="00701234">
      <w:pPr>
        <w:spacing w:before="60" w:after="60"/>
      </w:pPr>
    </w:p>
    <w:p w:rsidR="00701234" w:rsidRDefault="001E201E">
      <w:pPr>
        <w:spacing w:before="60" w:after="60"/>
      </w:pPr>
      <w:r>
        <w:rPr>
          <w:b/>
          <w:bCs/>
          <w:color w:val="000000"/>
        </w:rPr>
        <w:t>39 out of 319 orders (12.2%) are loss-making</w:t>
      </w:r>
      <w:r>
        <w:t>, generating a total loss of −$1,282. Nearly all loss orders are concentrated at 20–30% discount levels.</w:t>
      </w:r>
    </w:p>
    <w:p w:rsidR="00701234" w:rsidRDefault="00701234">
      <w:pPr>
        <w:spacing w:before="60" w:after="60"/>
      </w:pPr>
    </w:p>
    <w:p w:rsidR="00701234" w:rsidRDefault="001E201E">
      <w:pPr>
        <w:spacing w:before="60" w:after="60"/>
      </w:pPr>
      <w:r>
        <w:rPr>
          <w:b/>
          <w:bCs/>
          <w:color w:val="000000"/>
        </w:rPr>
        <w:t xml:space="preserve">Insight: </w:t>
      </w:r>
      <w:r>
        <w:t>Discounts above 15% are destroying margin. The 30% discount tier needs to be reviewed or eliminated. A discount approval policy above 15% could recover approximately $1,900+ in annual profit.</w:t>
      </w:r>
    </w:p>
    <w:p w:rsidR="001E201E" w:rsidRDefault="001E201E">
      <w:pPr>
        <w:pStyle w:val="Heading2"/>
        <w:pBdr>
          <w:bottom w:val="single" w:sz="4" w:space="4" w:color="CCCCCC"/>
        </w:pBdr>
        <w:rPr>
          <w:color w:val="auto"/>
        </w:rPr>
      </w:pPr>
    </w:p>
    <w:p w:rsidR="00701234" w:rsidRPr="001E201E" w:rsidRDefault="001E201E">
      <w:pPr>
        <w:pStyle w:val="Heading2"/>
        <w:pBdr>
          <w:bottom w:val="single" w:sz="4" w:space="4" w:color="CCCCCC"/>
        </w:pBdr>
        <w:rPr>
          <w:color w:val="auto"/>
        </w:rPr>
      </w:pPr>
      <w:r w:rsidRPr="001E201E">
        <w:rPr>
          <w:color w:val="auto"/>
        </w:rPr>
        <w:t>Q4. Which month performs best?</w:t>
      </w:r>
    </w:p>
    <w:p w:rsidR="00701234" w:rsidRDefault="00701234">
      <w:pPr>
        <w:spacing w:before="60" w:after="60"/>
      </w:pPr>
    </w:p>
    <w:p w:rsidR="00701234" w:rsidRDefault="001E201E">
      <w:pPr>
        <w:spacing w:before="60" w:after="60"/>
      </w:pPr>
      <w:r>
        <w:rPr>
          <w:b/>
          <w:bCs/>
          <w:color w:val="000000"/>
        </w:rPr>
        <w:t>April is the peak sales month</w:t>
      </w:r>
      <w:r>
        <w:t xml:space="preserve"> a</w:t>
      </w:r>
      <w:r>
        <w:t>t $32,012 — more than double January ($14,544). July delivers the highest profit at $4,746 despite being 6th in sales, suggesting better margin management that month.</w:t>
      </w:r>
    </w:p>
    <w:p w:rsidR="00701234" w:rsidRDefault="00701234">
      <w:pPr>
        <w:spacing w:before="60" w:after="60"/>
      </w:pPr>
    </w:p>
    <w:p w:rsidR="00701234" w:rsidRDefault="001E201E">
      <w:pPr>
        <w:spacing w:before="60" w:after="60"/>
      </w:pPr>
      <w:r>
        <w:rPr>
          <w:b/>
          <w:bCs/>
          <w:color w:val="000000"/>
        </w:rPr>
        <w:t>Monthly performance highlights: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April — </w:t>
      </w:r>
      <w:r>
        <w:t xml:space="preserve">$32,012 sales | $4,182 </w:t>
      </w:r>
      <w:proofErr w:type="gramStart"/>
      <w:r>
        <w:t>profit  ★</w:t>
      </w:r>
      <w:proofErr w:type="gramEnd"/>
      <w:r>
        <w:t xml:space="preserve"> Peak sales mont</w:t>
      </w:r>
      <w:r>
        <w:t>h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July — </w:t>
      </w:r>
      <w:r>
        <w:t xml:space="preserve">$22,254 sales | $4,746 </w:t>
      </w:r>
      <w:proofErr w:type="gramStart"/>
      <w:r>
        <w:t>profit  ★</w:t>
      </w:r>
      <w:proofErr w:type="gramEnd"/>
      <w:r>
        <w:t xml:space="preserve"> Highest profit month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November — </w:t>
      </w:r>
      <w:r>
        <w:t>$24,124 sales | $3,397 profit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January — </w:t>
      </w:r>
      <w:r>
        <w:t xml:space="preserve">$14,544 sales | $1,793 </w:t>
      </w:r>
      <w:proofErr w:type="gramStart"/>
      <w:r>
        <w:t>profit  ★</w:t>
      </w:r>
      <w:proofErr w:type="gramEnd"/>
      <w:r>
        <w:t xml:space="preserve"> Weakest month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June — </w:t>
      </w:r>
      <w:r>
        <w:t xml:space="preserve">$15,999 sales | $2,129 </w:t>
      </w:r>
      <w:proofErr w:type="gramStart"/>
      <w:r>
        <w:t>profit  ★</w:t>
      </w:r>
      <w:proofErr w:type="gramEnd"/>
      <w:r>
        <w:t xml:space="preserve"> Second weakest</w:t>
      </w:r>
    </w:p>
    <w:p w:rsidR="00701234" w:rsidRDefault="001E201E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October — </w:t>
      </w:r>
      <w:r>
        <w:t xml:space="preserve">$18,979 sales | $1,503 </w:t>
      </w:r>
      <w:proofErr w:type="gramStart"/>
      <w:r>
        <w:t xml:space="preserve">profit </w:t>
      </w:r>
      <w:r>
        <w:t xml:space="preserve"> ★</w:t>
      </w:r>
      <w:proofErr w:type="gramEnd"/>
      <w:r>
        <w:t xml:space="preserve"> Lowest profit month</w:t>
      </w:r>
    </w:p>
    <w:p w:rsidR="00701234" w:rsidRDefault="00701234">
      <w:pPr>
        <w:spacing w:before="60" w:after="60"/>
      </w:pPr>
    </w:p>
    <w:p w:rsidR="00701234" w:rsidRDefault="001E201E">
      <w:pPr>
        <w:spacing w:before="60" w:after="60"/>
      </w:pPr>
      <w:r>
        <w:rPr>
          <w:b/>
          <w:bCs/>
          <w:color w:val="000000"/>
        </w:rPr>
        <w:t xml:space="preserve">Trend pattern: </w:t>
      </w:r>
      <w:r>
        <w:t>Sales build through Q1 and peak in April, dip in June, recover through Q3, and hold steady in Q4. No strong holiday-season spike is visible, which is unusual for retail.</w:t>
      </w:r>
    </w:p>
    <w:p w:rsidR="00701234" w:rsidRDefault="00701234">
      <w:pPr>
        <w:spacing w:before="60" w:after="60"/>
      </w:pPr>
    </w:p>
    <w:p w:rsidR="00701234" w:rsidRDefault="001E201E">
      <w:pPr>
        <w:spacing w:before="60" w:after="60"/>
      </w:pPr>
      <w:r>
        <w:rPr>
          <w:b/>
          <w:bCs/>
          <w:color w:val="000000"/>
        </w:rPr>
        <w:t xml:space="preserve">Insight: </w:t>
      </w:r>
      <w:r>
        <w:t>January, June, and October are consis</w:t>
      </w:r>
      <w:r>
        <w:t>tently the three weakest months across both sales and profit. Targeted campaigns or bundled offers during these dip months can smooth the revenue curve and lift annual performance.</w:t>
      </w:r>
    </w:p>
    <w:p w:rsidR="001E201E" w:rsidRDefault="001E201E">
      <w:pPr>
        <w:pStyle w:val="Heading2"/>
        <w:pBdr>
          <w:bottom w:val="single" w:sz="4" w:space="4" w:color="CCCCCC"/>
        </w:pBdr>
        <w:rPr>
          <w:color w:val="auto"/>
        </w:rPr>
      </w:pPr>
    </w:p>
    <w:p w:rsidR="001E201E" w:rsidRDefault="001E201E">
      <w:pPr>
        <w:pStyle w:val="Heading2"/>
        <w:pBdr>
          <w:bottom w:val="single" w:sz="4" w:space="4" w:color="CCCCCC"/>
        </w:pBdr>
        <w:rPr>
          <w:color w:val="auto"/>
        </w:rPr>
      </w:pPr>
    </w:p>
    <w:p w:rsidR="001E201E" w:rsidRDefault="001E201E">
      <w:pPr>
        <w:pStyle w:val="Heading2"/>
        <w:pBdr>
          <w:bottom w:val="single" w:sz="4" w:space="4" w:color="CCCCCC"/>
        </w:pBdr>
        <w:rPr>
          <w:color w:val="auto"/>
        </w:rPr>
      </w:pPr>
    </w:p>
    <w:p w:rsidR="001E201E" w:rsidRDefault="001E201E">
      <w:pPr>
        <w:pStyle w:val="Heading2"/>
        <w:pBdr>
          <w:bottom w:val="single" w:sz="4" w:space="4" w:color="CCCCCC"/>
        </w:pBdr>
        <w:rPr>
          <w:color w:val="auto"/>
        </w:rPr>
      </w:pPr>
    </w:p>
    <w:p w:rsidR="00701234" w:rsidRPr="001E201E" w:rsidRDefault="001E201E">
      <w:pPr>
        <w:pStyle w:val="Heading2"/>
        <w:pBdr>
          <w:bottom w:val="single" w:sz="4" w:space="4" w:color="CCCCCC"/>
        </w:pBdr>
        <w:rPr>
          <w:color w:val="auto"/>
        </w:rPr>
      </w:pPr>
      <w:r w:rsidRPr="001E201E">
        <w:rPr>
          <w:color w:val="auto"/>
        </w:rPr>
        <w:lastRenderedPageBreak/>
        <w:t>Q5. Key recommendations for management</w:t>
      </w:r>
    </w:p>
    <w:p w:rsidR="00701234" w:rsidRDefault="00701234">
      <w:pPr>
        <w:spacing w:before="60" w:after="60"/>
      </w:pPr>
    </w:p>
    <w:p w:rsidR="00701234" w:rsidRDefault="001E201E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000000"/>
        </w:rPr>
        <w:t xml:space="preserve">Cap discounts at 15% — </w:t>
      </w:r>
      <w:r>
        <w:t>Introduce a</w:t>
      </w:r>
      <w:r>
        <w:t xml:space="preserve"> discount approval policy. No order above 15% without manager sign-off. The 30% discount tier is currently generating losses and must be reviewed immediately. Estimated margin recovery: $1,900+ per year.</w:t>
      </w:r>
    </w:p>
    <w:p w:rsidR="00701234" w:rsidRDefault="00701234">
      <w:pPr>
        <w:spacing w:before="60" w:after="60"/>
      </w:pPr>
    </w:p>
    <w:p w:rsidR="00701234" w:rsidRDefault="001E201E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000000"/>
        </w:rPr>
        <w:t xml:space="preserve">Invest in the East region — </w:t>
      </w:r>
      <w:r>
        <w:t>East delivers the best profit efficiency (14.0% margin, 89 orders). Allocate additional sales headcount or marketing budget to East to scale its volume while maintaining margin quality.</w:t>
      </w:r>
    </w:p>
    <w:p w:rsidR="00701234" w:rsidRDefault="00701234">
      <w:pPr>
        <w:spacing w:before="60" w:after="60"/>
      </w:pPr>
    </w:p>
    <w:p w:rsidR="00701234" w:rsidRDefault="001E201E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000000"/>
        </w:rPr>
        <w:t xml:space="preserve">Expand the Technology product range — </w:t>
      </w:r>
      <w:r>
        <w:t>Technology has the highest marg</w:t>
      </w:r>
      <w:r>
        <w:t>in (14.0%) but contributes only 32.9% of revenue. Cross-selling and upselling tech products — particularly in North and East — can improve overall profitability without significant cost increases.</w:t>
      </w:r>
    </w:p>
    <w:p w:rsidR="00701234" w:rsidRDefault="00701234">
      <w:pPr>
        <w:spacing w:before="60" w:after="60"/>
      </w:pPr>
    </w:p>
    <w:p w:rsidR="00701234" w:rsidRDefault="001E201E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000000"/>
        </w:rPr>
        <w:t>A</w:t>
      </w:r>
      <w:r>
        <w:rPr>
          <w:b/>
          <w:bCs/>
          <w:color w:val="000000"/>
        </w:rPr>
        <w:t xml:space="preserve">ddress South region underperformance — </w:t>
      </w:r>
      <w:r>
        <w:t>South generates th</w:t>
      </w:r>
      <w:r>
        <w:t>e lowest sales ($55,150) with the fewest large orders. Conduct a regional sales review, explore channel expansion, or run targeted promotions in Q1 and Q3 to close the gap with other regions.</w:t>
      </w:r>
    </w:p>
    <w:p w:rsidR="00701234" w:rsidRDefault="00701234">
      <w:pPr>
        <w:spacing w:before="60" w:after="60"/>
      </w:pPr>
    </w:p>
    <w:p w:rsidR="00701234" w:rsidRDefault="001E201E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000000"/>
        </w:rPr>
        <w:t xml:space="preserve">Run demand campaigns in January, June, and October — </w:t>
      </w:r>
      <w:r>
        <w:t>These thre</w:t>
      </w:r>
      <w:r>
        <w:t>e months are consistently below average. Seasonal promotions, bundle offers, or early-bird incentives during these dip months can lift the annual revenue curve without discounting core margin.</w:t>
      </w:r>
    </w:p>
    <w:p w:rsidR="00701234" w:rsidRDefault="00701234">
      <w:pPr>
        <w:spacing w:before="60" w:after="60"/>
      </w:pPr>
    </w:p>
    <w:p w:rsidR="00701234" w:rsidRDefault="001E201E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000000"/>
        </w:rPr>
        <w:t xml:space="preserve">Review Office Supplies pricing strategy — </w:t>
      </w:r>
      <w:r>
        <w:t xml:space="preserve">At 12.6% margin and </w:t>
      </w:r>
      <w:r>
        <w:t xml:space="preserve">only 6.2% revenue share, Office Supplies is the weakest category. Consider increasing unit prices, bundling Office Supplies with Furniture orders, or </w:t>
      </w:r>
      <w:proofErr w:type="spellStart"/>
      <w:r>
        <w:t>rationalising</w:t>
      </w:r>
      <w:proofErr w:type="spellEnd"/>
      <w:r>
        <w:t xml:space="preserve"> the product range to improve contribution margin.</w:t>
      </w:r>
    </w:p>
    <w:p w:rsidR="00701234" w:rsidRDefault="00701234" w:rsidP="001E201E">
      <w:pPr>
        <w:spacing w:before="80"/>
      </w:pPr>
      <w:bookmarkStart w:id="0" w:name="_GoBack"/>
      <w:bookmarkEnd w:id="0"/>
    </w:p>
    <w:sectPr w:rsidR="007012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43A5D"/>
    <w:multiLevelType w:val="hybridMultilevel"/>
    <w:tmpl w:val="5F9EB8EC"/>
    <w:lvl w:ilvl="0" w:tplc="E68883A4">
      <w:start w:val="1"/>
      <w:numFmt w:val="bullet"/>
      <w:lvlText w:val="•"/>
      <w:lvlJc w:val="left"/>
      <w:pPr>
        <w:ind w:left="720" w:hanging="360"/>
      </w:pPr>
    </w:lvl>
    <w:lvl w:ilvl="1" w:tplc="D2E4F00C">
      <w:numFmt w:val="decimal"/>
      <w:lvlText w:val=""/>
      <w:lvlJc w:val="left"/>
    </w:lvl>
    <w:lvl w:ilvl="2" w:tplc="910267DC">
      <w:numFmt w:val="decimal"/>
      <w:lvlText w:val=""/>
      <w:lvlJc w:val="left"/>
    </w:lvl>
    <w:lvl w:ilvl="3" w:tplc="C79C530A">
      <w:numFmt w:val="decimal"/>
      <w:lvlText w:val=""/>
      <w:lvlJc w:val="left"/>
    </w:lvl>
    <w:lvl w:ilvl="4" w:tplc="F608189C">
      <w:numFmt w:val="decimal"/>
      <w:lvlText w:val=""/>
      <w:lvlJc w:val="left"/>
    </w:lvl>
    <w:lvl w:ilvl="5" w:tplc="58B20A3E">
      <w:numFmt w:val="decimal"/>
      <w:lvlText w:val=""/>
      <w:lvlJc w:val="left"/>
    </w:lvl>
    <w:lvl w:ilvl="6" w:tplc="382A09AC">
      <w:numFmt w:val="decimal"/>
      <w:lvlText w:val=""/>
      <w:lvlJc w:val="left"/>
    </w:lvl>
    <w:lvl w:ilvl="7" w:tplc="64A43BEC">
      <w:numFmt w:val="decimal"/>
      <w:lvlText w:val=""/>
      <w:lvlJc w:val="left"/>
    </w:lvl>
    <w:lvl w:ilvl="8" w:tplc="340C373C">
      <w:numFmt w:val="decimal"/>
      <w:lvlText w:val=""/>
      <w:lvlJc w:val="left"/>
    </w:lvl>
  </w:abstractNum>
  <w:abstractNum w:abstractNumId="1" w15:restartNumberingAfterBreak="0">
    <w:nsid w:val="34445158"/>
    <w:multiLevelType w:val="hybridMultilevel"/>
    <w:tmpl w:val="CAE07EAE"/>
    <w:lvl w:ilvl="0" w:tplc="5FC0DCB4">
      <w:start w:val="1"/>
      <w:numFmt w:val="decimal"/>
      <w:lvlText w:val="%1."/>
      <w:lvlJc w:val="left"/>
      <w:pPr>
        <w:ind w:left="720" w:hanging="360"/>
      </w:pPr>
    </w:lvl>
    <w:lvl w:ilvl="1" w:tplc="60D40508">
      <w:numFmt w:val="decimal"/>
      <w:lvlText w:val=""/>
      <w:lvlJc w:val="left"/>
    </w:lvl>
    <w:lvl w:ilvl="2" w:tplc="5D6EE2B4">
      <w:numFmt w:val="decimal"/>
      <w:lvlText w:val=""/>
      <w:lvlJc w:val="left"/>
    </w:lvl>
    <w:lvl w:ilvl="3" w:tplc="CF40449E">
      <w:numFmt w:val="decimal"/>
      <w:lvlText w:val=""/>
      <w:lvlJc w:val="left"/>
    </w:lvl>
    <w:lvl w:ilvl="4" w:tplc="D5C219FC">
      <w:numFmt w:val="decimal"/>
      <w:lvlText w:val=""/>
      <w:lvlJc w:val="left"/>
    </w:lvl>
    <w:lvl w:ilvl="5" w:tplc="22068DCE">
      <w:numFmt w:val="decimal"/>
      <w:lvlText w:val=""/>
      <w:lvlJc w:val="left"/>
    </w:lvl>
    <w:lvl w:ilvl="6" w:tplc="9050D19E">
      <w:numFmt w:val="decimal"/>
      <w:lvlText w:val=""/>
      <w:lvlJc w:val="left"/>
    </w:lvl>
    <w:lvl w:ilvl="7" w:tplc="59F45180">
      <w:numFmt w:val="decimal"/>
      <w:lvlText w:val=""/>
      <w:lvlJc w:val="left"/>
    </w:lvl>
    <w:lvl w:ilvl="8" w:tplc="1DB2A1A4">
      <w:numFmt w:val="decimal"/>
      <w:lvlText w:val=""/>
      <w:lvlJc w:val="left"/>
    </w:lvl>
  </w:abstractNum>
  <w:abstractNum w:abstractNumId="2" w15:restartNumberingAfterBreak="0">
    <w:nsid w:val="4B4F4A63"/>
    <w:multiLevelType w:val="hybridMultilevel"/>
    <w:tmpl w:val="D6CA944A"/>
    <w:lvl w:ilvl="0" w:tplc="67EE74E8">
      <w:start w:val="1"/>
      <w:numFmt w:val="bullet"/>
      <w:lvlText w:val="●"/>
      <w:lvlJc w:val="left"/>
      <w:pPr>
        <w:ind w:left="720" w:hanging="360"/>
      </w:pPr>
    </w:lvl>
    <w:lvl w:ilvl="1" w:tplc="714C1286">
      <w:start w:val="1"/>
      <w:numFmt w:val="bullet"/>
      <w:lvlText w:val="○"/>
      <w:lvlJc w:val="left"/>
      <w:pPr>
        <w:ind w:left="1440" w:hanging="360"/>
      </w:pPr>
    </w:lvl>
    <w:lvl w:ilvl="2" w:tplc="1D9A022E">
      <w:start w:val="1"/>
      <w:numFmt w:val="bullet"/>
      <w:lvlText w:val="■"/>
      <w:lvlJc w:val="left"/>
      <w:pPr>
        <w:ind w:left="2160" w:hanging="360"/>
      </w:pPr>
    </w:lvl>
    <w:lvl w:ilvl="3" w:tplc="D8A85F34">
      <w:start w:val="1"/>
      <w:numFmt w:val="bullet"/>
      <w:lvlText w:val="●"/>
      <w:lvlJc w:val="left"/>
      <w:pPr>
        <w:ind w:left="2880" w:hanging="360"/>
      </w:pPr>
    </w:lvl>
    <w:lvl w:ilvl="4" w:tplc="B9DA7F6E">
      <w:start w:val="1"/>
      <w:numFmt w:val="bullet"/>
      <w:lvlText w:val="○"/>
      <w:lvlJc w:val="left"/>
      <w:pPr>
        <w:ind w:left="3600" w:hanging="360"/>
      </w:pPr>
    </w:lvl>
    <w:lvl w:ilvl="5" w:tplc="20B647BA">
      <w:start w:val="1"/>
      <w:numFmt w:val="bullet"/>
      <w:lvlText w:val="■"/>
      <w:lvlJc w:val="left"/>
      <w:pPr>
        <w:ind w:left="4320" w:hanging="360"/>
      </w:pPr>
    </w:lvl>
    <w:lvl w:ilvl="6" w:tplc="F954972C">
      <w:start w:val="1"/>
      <w:numFmt w:val="bullet"/>
      <w:lvlText w:val="●"/>
      <w:lvlJc w:val="left"/>
      <w:pPr>
        <w:ind w:left="5040" w:hanging="360"/>
      </w:pPr>
    </w:lvl>
    <w:lvl w:ilvl="7" w:tplc="DE8E6984">
      <w:start w:val="1"/>
      <w:numFmt w:val="bullet"/>
      <w:lvlText w:val="●"/>
      <w:lvlJc w:val="left"/>
      <w:pPr>
        <w:ind w:left="5760" w:hanging="360"/>
      </w:pPr>
    </w:lvl>
    <w:lvl w:ilvl="8" w:tplc="891693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234"/>
    <w:rsid w:val="001E201E"/>
    <w:rsid w:val="0070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8E66D"/>
  <w15:docId w15:val="{F0EE6F36-0632-49CE-B28B-4DFC31E53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1F3864"/>
      <w:sz w:val="22"/>
      <w:szCs w:val="22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AKASH V H</cp:lastModifiedBy>
  <cp:revision>2</cp:revision>
  <dcterms:created xsi:type="dcterms:W3CDTF">2026-06-26T10:38:00Z</dcterms:created>
  <dcterms:modified xsi:type="dcterms:W3CDTF">2026-06-26T10:38:00Z</dcterms:modified>
</cp:coreProperties>
</file>