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6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ФБУ «Кемеровский ЦСМ»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ФБУ «Кемеровский ЦСМ»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ФБУ «Кемеровский ЦСМ»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6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6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ФБУ «Кемеровский ЦСМ»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6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