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9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«Красноярский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«Красноярский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«Красноярский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9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9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«Красноярский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9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