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rPr>
          <w:color w:val="1A2744"/>
        </w:rPr>
        <w:t>Corrective and Preventive Action (CAPA)</w:t>
      </w:r>
    </w:p>
    <w:p>
      <w:pPr>
        <w:jc w:val="center"/>
      </w:pPr>
      <w:r>
        <w:rPr>
          <w:b/>
          <w:color w:val="1A2744"/>
          <w:sz w:val="28"/>
        </w:rPr>
        <w:t>CAPA-2026-001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F4F6F9" w:val="clear"/>
          </w:tcPr>
          <w:p>
            <w:r>
              <w:rPr>
                <w:b/>
                <w:sz w:val="20"/>
              </w:rPr>
              <w:t>CAPA Number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CAPA-2026-001</w:t>
            </w:r>
          </w:p>
        </w:tc>
      </w:tr>
      <w:tr>
        <w:tc>
          <w:tcPr>
            <w:tcW w:type="dxa" w:w="4320"/>
            <w:shd w:fill="F4F6F9" w:val="clear"/>
          </w:tcPr>
          <w:p>
            <w:r>
              <w:rPr>
                <w:b/>
                <w:sz w:val="20"/>
              </w:rPr>
              <w:t>Date Initiated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2026-03-30</w:t>
            </w:r>
          </w:p>
        </w:tc>
      </w:tr>
      <w:tr>
        <w:tc>
          <w:tcPr>
            <w:tcW w:type="dxa" w:w="4320"/>
            <w:shd w:fill="F4F6F9" w:val="clear"/>
          </w:tcPr>
          <w:p>
            <w:r>
              <w:rPr>
                <w:b/>
                <w:sz w:val="20"/>
              </w:rPr>
              <w:t>Initiated By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QC Agent (AI-assisted)</w:t>
            </w:r>
          </w:p>
        </w:tc>
      </w:tr>
      <w:tr>
        <w:tc>
          <w:tcPr>
            <w:tcW w:type="dxa" w:w="4320"/>
            <w:shd w:fill="F4F6F9" w:val="clear"/>
          </w:tcPr>
          <w:p>
            <w:r>
              <w:rPr>
                <w:b/>
                <w:sz w:val="20"/>
              </w:rPr>
              <w:t>Assigned To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Sam Modder</w:t>
            </w:r>
          </w:p>
        </w:tc>
      </w:tr>
      <w:tr>
        <w:tc>
          <w:tcPr>
            <w:tcW w:type="dxa" w:w="4320"/>
            <w:shd w:fill="F4F6F9" w:val="clear"/>
          </w:tcPr>
          <w:p>
            <w:r>
              <w:rPr>
                <w:b/>
                <w:sz w:val="20"/>
              </w:rPr>
              <w:t>SQF Clause Reference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Clause 2.3.2 — Approved Supplier Program</w:t>
            </w:r>
          </w:p>
        </w:tc>
      </w:tr>
      <w:tr>
        <w:tc>
          <w:tcPr>
            <w:tcW w:type="dxa" w:w="4320"/>
            <w:shd w:fill="F4F6F9" w:val="clear"/>
          </w:tcPr>
          <w:p>
            <w:r>
              <w:rPr>
                <w:b/>
                <w:sz w:val="20"/>
              </w:rPr>
              <w:t>Severity</w:t>
            </w:r>
          </w:p>
        </w:tc>
        <w:tc>
          <w:tcPr>
            <w:tcW w:type="dxa" w:w="4320"/>
          </w:tcPr>
          <w:p>
            <w:r>
              <w:rPr>
                <w:b/>
                <w:color w:val="DD6B20"/>
                <w:sz w:val="20"/>
              </w:rPr>
              <w:t>Minor</w:t>
            </w:r>
          </w:p>
        </w:tc>
      </w:tr>
      <w:tr>
        <w:tc>
          <w:tcPr>
            <w:tcW w:type="dxa" w:w="4320"/>
            <w:shd w:fill="F4F6F9" w:val="clear"/>
          </w:tcPr>
          <w:p>
            <w:r>
              <w:rPr>
                <w:b/>
                <w:sz w:val="20"/>
              </w:rPr>
              <w:t>Due Date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2026-04-30</w:t>
            </w:r>
          </w:p>
        </w:tc>
      </w:tr>
      <w:tr>
        <w:tc>
          <w:tcPr>
            <w:tcW w:type="dxa" w:w="4320"/>
            <w:shd w:fill="F4F6F9" w:val="clear"/>
          </w:tcPr>
          <w:p>
            <w:r>
              <w:rPr>
                <w:b/>
                <w:sz w:val="20"/>
              </w:rPr>
              <w:t>Status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Open</w:t>
            </w:r>
          </w:p>
        </w:tc>
      </w:tr>
    </w:tbl>
    <w:p/>
    <w:p>
      <w:pPr>
        <w:pStyle w:val="Heading2"/>
      </w:pPr>
      <w:r>
        <w:t>Description of Non-Conformance</w:t>
      </w:r>
    </w:p>
    <w:p>
      <w:pPr>
        <w:spacing w:after="240"/>
      </w:pPr>
      <w:r>
        <w:t>Supplier qualification audit overdue for Flavorchem Corp. Last supplier audit was completed March 2024. Per SQF Clause 2.3.2, supplier audits must be conducted at least annually.</w:t>
      </w:r>
    </w:p>
    <w:p>
      <w:pPr>
        <w:pStyle w:val="Heading2"/>
      </w:pPr>
      <w:r>
        <w:t>Root Cause Analysis</w:t>
      </w:r>
    </w:p>
    <w:p>
      <w:pPr>
        <w:spacing w:after="240"/>
      </w:pPr>
      <w:r>
        <w:t>No automated tracking system for supplier audit due dates. Manual tracking in spreadsheet was not updated after personnel change. Flavorchem folder (38 documents) shows active purchasing but no recent audit documentation.</w:t>
      </w:r>
    </w:p>
    <w:p>
      <w:pPr>
        <w:pStyle w:val="Heading2"/>
      </w:pPr>
      <w:r>
        <w:t>Corrective Action</w:t>
      </w:r>
    </w:p>
    <w:p>
      <w:pPr>
        <w:spacing w:after="240"/>
      </w:pPr>
      <w:r>
        <w:t>Schedule and complete Flavorchem supplier audit by April 30, 2026. Request updated COAs, allergen statements, and SQF certification from Flavorchem.</w:t>
      </w:r>
    </w:p>
    <w:p>
      <w:pPr>
        <w:pStyle w:val="Heading2"/>
      </w:pPr>
      <w:r>
        <w:t>Preventive Action</w:t>
      </w:r>
    </w:p>
    <w:p>
      <w:pPr>
        <w:spacing w:after="240"/>
      </w:pPr>
      <w:r>
        <w:t>Enable QC Agent automated alerts for all supplier audit anniversaries. Set 30-day advance warning for cert expirations across all 100+ supplier folders.</w:t>
      </w:r>
    </w:p>
    <w:p>
      <w:pPr>
        <w:pStyle w:val="Heading2"/>
      </w:pPr>
      <w:r>
        <w:t>Verification of Effectiveness</w:t>
      </w:r>
    </w:p>
    <w:p>
      <w:r>
        <w:t>(To be completed after corrective action implementation)</w:t>
      </w:r>
    </w:p>
    <w:p/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  <w:sz w:val="20"/>
              </w:rPr>
              <w:t>Verified By:</w:t>
            </w:r>
          </w:p>
        </w:tc>
        <w:tc>
          <w:tcPr>
            <w:tcW w:type="dxa" w:w="4320"/>
          </w:tcPr>
          <w:p>
            <w:r>
              <w:t>____________________________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20"/>
              </w:rPr>
              <w:t>Verification Date:</w:t>
            </w:r>
          </w:p>
        </w:tc>
        <w:tc>
          <w:tcPr>
            <w:tcW w:type="dxa" w:w="4320"/>
          </w:tcPr>
          <w:p>
            <w:r>
              <w:t>____________________________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20"/>
              </w:rPr>
              <w:t>Effective? (Y/N):</w:t>
            </w:r>
          </w:p>
        </w:tc>
        <w:tc>
          <w:tcPr>
            <w:tcW w:type="dxa" w:w="4320"/>
          </w:tcPr>
          <w:p>
            <w:r>
              <w:t>____________________________</w:t>
            </w:r>
          </w:p>
        </w:tc>
      </w:tr>
    </w:tbl>
    <w:p/>
    <w:p/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  <w:sz w:val="20"/>
              </w:rPr>
              <w:t>Prepared By:</w:t>
            </w:r>
          </w:p>
        </w:tc>
        <w:tc>
          <w:tcPr>
            <w:tcW w:type="dxa" w:w="4320"/>
          </w:tcPr>
          <w:p>
            <w:r>
              <w:t>QC Agent (AI-assisted)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20"/>
              </w:rPr>
              <w:t>Approved By:</w:t>
            </w:r>
          </w:p>
        </w:tc>
        <w:tc>
          <w:tcPr>
            <w:tcW w:type="dxa" w:w="4320"/>
          </w:tcPr>
          <w:p>
            <w:r>
              <w:t>____________________________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20"/>
              </w:rPr>
              <w:t>Date:</w:t>
            </w:r>
          </w:p>
        </w:tc>
        <w:tc>
          <w:tcPr>
            <w:tcW w:type="dxa" w:w="4320"/>
          </w:tcPr>
          <w:p>
            <w:r>
              <w:t>____________________________</w:t>
            </w:r>
          </w:p>
        </w:tc>
      </w:tr>
    </w:tbl>
    <w:p/>
    <w:p>
      <w:pPr>
        <w:jc w:val="center"/>
      </w:pPr>
      <w:r>
        <w:rPr>
          <w:color w:val="718096"/>
          <w:sz w:val="16"/>
        </w:rPr>
        <w:t>WholeChem, LLC — Confidential — SQF Quality Management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color w:val="2D3748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