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60"/>
          <w:szCs w:val="60"/>
        </w:rPr>
      </w:pPr>
      <w:bookmarkStart w:colFirst="0" w:colLast="0" w:name="_5x0d5h95i329" w:id="0"/>
      <w:bookmarkEnd w:id="0"/>
      <w:r w:rsidDel="00000000" w:rsidR="00000000" w:rsidRPr="00000000">
        <w:rPr>
          <w:b w:val="1"/>
          <w:bCs w:val="1"/>
          <w:color w:val="4a86e8"/>
          <w:sz w:val="60"/>
          <w:szCs w:val="60"/>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10</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Febuary 2026</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u0z0ia4c7s7z"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Risks that were measured considered the data storage and management procedures of the business. Potential threat sources and events were determined using the likelihood of a security incident given the open access permissions of the information system. The severity of potential incidents were weighed against the impact on day-to-day operational needs.</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