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a2fe638a461d798729eb1466724eedb0ea0462c"/>
    <w:p>
      <w:pPr>
        <w:pStyle w:val="Heading1"/>
      </w:pPr>
      <w:r>
        <w:t xml:space="preserve">FactoryOS V3 — Gate / Kabul Kriterleri Dokümanı</w:t>
      </w:r>
    </w:p>
    <w:p>
      <w:pPr>
        <w:pStyle w:val="FirstParagraph"/>
      </w:pPr>
      <w:r>
        <w:rPr>
          <w:b/>
          <w:bCs/>
        </w:rPr>
        <w:t xml:space="preserve">Takvim bazlı değil, tamamlanma kriteri bazlı V3 planı</w:t>
      </w:r>
    </w:p>
    <w:p>
      <w:pPr>
        <w:pStyle w:val="BodyText"/>
      </w:pPr>
      <w:r>
        <w:rPr>
          <w:b/>
          <w:bCs/>
        </w:rPr>
        <w:t xml:space="preserve">Ana karar:</w:t>
      </w:r>
      <w:r>
        <w:t xml:space="preserve"> </w:t>
      </w:r>
      <w:r>
        <w:t xml:space="preserve">V3 için süre hedefi yoktur. Her aşama, yalnızca kabul kriterleri tamamlandığında kapanır. Hızlı demo değil; V4 gerektirmeyecek merkezi UI, güçlü admin panel, sağlam migration, doğru currency ve doğru stok maliyet temeli hedeflenir.</w:t>
      </w:r>
    </w:p>
    <w:p>
      <w:r>
        <w:pict>
          <v:rect style="width:0;height:1.5pt" o:hralign="center" o:hrstd="t" o:hr="t"/>
        </w:pict>
      </w:r>
    </w:p>
    <w:bookmarkStart w:id="9" w:name="temel-yaklaşım"/>
    <w:p>
      <w:pPr>
        <w:pStyle w:val="Heading2"/>
      </w:pPr>
      <w:r>
        <w:t xml:space="preserve">1. Temel Yaklaşım</w:t>
      </w:r>
    </w:p>
    <w:p>
      <w:pPr>
        <w:pStyle w:val="FirstParagraph"/>
      </w:pPr>
      <w:r>
        <w:t xml:space="preserve">Bu doküman FactoryOS V3 için takvim yerine</w:t>
      </w:r>
      <w:r>
        <w:t xml:space="preserve"> </w:t>
      </w:r>
      <w:r>
        <w:rPr>
          <w:b/>
          <w:bCs/>
        </w:rPr>
        <w:t xml:space="preserve">Gate / Kabul Kriteri</w:t>
      </w:r>
      <w:r>
        <w:t xml:space="preserve"> </w:t>
      </w:r>
      <w:r>
        <w:t xml:space="preserve">sistemi tanımlar. V1 ve V2’de hızlı ilerleme sonucu modüller sonradan birbirine bağlandı; UI tutarsızlığı, patch karmaşası, hardcoded para birimi, m² tabanlı eski FIFO maliyeti ve permission dağınıklığı oluştu.</w:t>
      </w:r>
      <w:r>
        <w:t xml:space="preserve"> </w:t>
      </w:r>
      <w:r>
        <w:rPr>
          <w:b/>
          <w:bCs/>
        </w:rPr>
        <w:t xml:space="preserve">V3’te aynı hata tekrarlanmayacak.</w:t>
      </w:r>
    </w:p>
    <w:p>
      <w:pPr>
        <w:pStyle w:val="BodyText"/>
      </w:pPr>
      <w:r>
        <w:rPr>
          <w:b/>
          <w:bCs/>
        </w:rPr>
        <w:t xml:space="preserve">V2 yok sayılmayacak.</w:t>
      </w:r>
      <w:r>
        <w:t xml:space="preserve"> </w:t>
      </w:r>
      <w:r>
        <w:t xml:space="preserve">V2, çalışan HR, stok ve satınalma iş mantığı için referans sistemdir. Ancak V2’nin dağınık UI/CSS yapısı, patch zinciri, eski maliyet modeli ve dağınık permission kontrolleri V3’e taşınmayacaktır.</w:t>
      </w:r>
    </w:p>
    <w:p>
      <w:r>
        <w:pict>
          <v:rect style="width:0;height:1.5pt" o:hralign="center" o:hrstd="t" o:hr="t"/>
        </w:pict>
      </w:r>
    </w:p>
    <w:bookmarkEnd w:id="9"/>
    <w:bookmarkStart w:id="10" w:name="gate-sisteminin-ana-kuralı"/>
    <w:p>
      <w:pPr>
        <w:pStyle w:val="Heading2"/>
      </w:pPr>
      <w:r>
        <w:t xml:space="preserve">2. Gate Sisteminin Ana Kuralı</w:t>
      </w:r>
    </w:p>
    <w:p>
      <w:pPr>
        <w:pStyle w:val="Compact"/>
        <w:numPr>
          <w:ilvl w:val="0"/>
          <w:numId w:val="1001"/>
        </w:numPr>
      </w:pPr>
      <w:r>
        <w:t xml:space="preserve">Bir sonraki Gate’e</w:t>
      </w:r>
      <w:r>
        <w:t xml:space="preserve"> </w:t>
      </w:r>
      <w:r>
        <w:rPr>
          <w:b/>
          <w:bCs/>
        </w:rPr>
        <w:t xml:space="preserve">tarih dolduğu için değil</w:t>
      </w:r>
      <w:r>
        <w:t xml:space="preserve">, mevcut Gate’in</w:t>
      </w:r>
      <w:r>
        <w:t xml:space="preserve"> </w:t>
      </w:r>
      <w:r>
        <w:rPr>
          <w:b/>
          <w:bCs/>
        </w:rPr>
        <w:t xml:space="preserve">kabul kriterleri tamamlandığı</w:t>
      </w:r>
      <w:r>
        <w:t xml:space="preserve"> </w:t>
      </w:r>
      <w:r>
        <w:t xml:space="preserve">için geçilir.</w:t>
      </w:r>
    </w:p>
    <w:p>
      <w:pPr>
        <w:pStyle w:val="Compact"/>
        <w:numPr>
          <w:ilvl w:val="0"/>
          <w:numId w:val="1001"/>
        </w:numPr>
      </w:pPr>
      <w:r>
        <w:t xml:space="preserve">Her modül başlamadan önce V2 iş kuralları, V2 ekranları, modal/popup akışları, migration ihtiyacı, permission anahtarları ve test senaryoları</w:t>
      </w:r>
      <w:r>
        <w:t xml:space="preserve"> </w:t>
      </w:r>
      <w:r>
        <w:rPr>
          <w:b/>
          <w:bCs/>
        </w:rPr>
        <w:t xml:space="preserve">yazılı</w:t>
      </w:r>
      <w:r>
        <w:t xml:space="preserve"> </w:t>
      </w:r>
      <w:r>
        <w:t xml:space="preserve">olmalıdır.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Eksik analizle kod yazılmaz.</w:t>
      </w:r>
      <w:r>
        <w:t xml:space="preserve"> </w:t>
      </w:r>
      <w:r>
        <w:t xml:space="preserve">Eksik analiz V3’ü tekrar patch zincirine sürükler.</w:t>
      </w:r>
    </w:p>
    <w:p>
      <w:pPr>
        <w:pStyle w:val="Compact"/>
        <w:numPr>
          <w:ilvl w:val="0"/>
          <w:numId w:val="1001"/>
        </w:numPr>
      </w:pPr>
      <w:r>
        <w:t xml:space="preserve">Frontend yalnızca sunum yapar; hesap/formül ve kritik doğrulama</w:t>
      </w:r>
      <w:r>
        <w:t xml:space="preserve"> </w:t>
      </w:r>
      <w:r>
        <w:rPr>
          <w:b/>
          <w:bCs/>
        </w:rPr>
        <w:t xml:space="preserve">backend/domain servislerinde</w:t>
      </w:r>
      <w:r>
        <w:t xml:space="preserve"> </w:t>
      </w:r>
      <w:r>
        <w:t xml:space="preserve">tek merkezde olur.</w:t>
      </w:r>
    </w:p>
    <w:p>
      <w:pPr>
        <w:pStyle w:val="Compact"/>
        <w:numPr>
          <w:ilvl w:val="0"/>
          <w:numId w:val="1001"/>
        </w:numPr>
      </w:pPr>
      <w:r>
        <w:t xml:space="preserve">Yeni modül veya yeni kolon ekleme işlemleri</w:t>
      </w:r>
      <w:r>
        <w:t xml:space="preserve"> </w:t>
      </w:r>
      <w:r>
        <w:rPr>
          <w:b/>
          <w:bCs/>
        </w:rPr>
        <w:t xml:space="preserve">migration/module registry</w:t>
      </w:r>
      <w:r>
        <w:t xml:space="preserve"> </w:t>
      </w:r>
      <w:r>
        <w:t xml:space="preserve">sistemiyle yapılır; rastgele patch dosyası kültürü oluşturulmaz.</w:t>
      </w:r>
    </w:p>
    <w:p>
      <w:r>
        <w:pict>
          <v:rect style="width:0;height:1.5pt" o:hralign="center" o:hrstd="t" o:hr="t"/>
        </w:pict>
      </w:r>
    </w:p>
    <w:bookmarkEnd w:id="10"/>
    <w:bookmarkStart w:id="11" w:name="gate-özet-tablosu"/>
    <w:p>
      <w:pPr>
        <w:pStyle w:val="Heading2"/>
      </w:pPr>
      <w:r>
        <w:t xml:space="preserve">3. Gate Özet Tablosu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825"/>
        <w:gridCol w:w="1650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Ad</w:t>
            </w:r>
          </w:p>
        </w:tc>
        <w:tc>
          <w:tcPr/>
          <w:p>
            <w:pPr>
              <w:pStyle w:val="Compact"/>
            </w:pPr>
            <w:r>
              <w:t xml:space="preserve">Ana Amaç</w:t>
            </w:r>
          </w:p>
        </w:tc>
        <w:tc>
          <w:tcPr/>
          <w:p>
            <w:pPr>
              <w:pStyle w:val="Compact"/>
            </w:pPr>
            <w:r>
              <w:t xml:space="preserve">Sonraki İşe Geçiş Şartı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Master Blueprint Freeze</w:t>
            </w:r>
          </w:p>
        </w:tc>
        <w:tc>
          <w:tcPr/>
          <w:p>
            <w:pPr>
              <w:pStyle w:val="Compact"/>
            </w:pPr>
            <w:r>
              <w:t xml:space="preserve">Kod başlamadan tüm mimari ve modül kurallarını kilitlemek</w:t>
            </w:r>
          </w:p>
        </w:tc>
        <w:tc>
          <w:tcPr/>
          <w:p>
            <w:pPr>
              <w:pStyle w:val="Compact"/>
            </w:pPr>
            <w:r>
              <w:t xml:space="preserve">Blueprint, entegrasyon haritası ve V2 referansları onaylanmış olmalı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Core System Ready</w:t>
            </w:r>
          </w:p>
        </w:tc>
        <w:tc>
          <w:tcPr/>
          <w:p>
            <w:pPr>
              <w:pStyle w:val="Compact"/>
            </w:pPr>
            <w:r>
              <w:t xml:space="preserve">Merkezi UI, admin, migration, registry, config ve güvenlik omurgasını kurmak</w:t>
            </w:r>
          </w:p>
        </w:tc>
        <w:tc>
          <w:tcPr/>
          <w:p>
            <w:pPr>
              <w:pStyle w:val="Compact"/>
            </w:pPr>
            <w:r>
              <w:t xml:space="preserve">Core altyapı responsive ve permission testlerinden geçmiş olmalı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HR Ready</w:t>
            </w:r>
          </w:p>
        </w:tc>
        <w:tc>
          <w:tcPr/>
          <w:p>
            <w:pPr>
              <w:pStyle w:val="Compact"/>
            </w:pPr>
            <w:r>
              <w:t xml:space="preserve">V2 HR mantığını merkezi sisteme tam ve güvenli taşımak</w:t>
            </w:r>
          </w:p>
        </w:tc>
        <w:tc>
          <w:tcPr/>
          <w:p>
            <w:pPr>
              <w:pStyle w:val="Compact"/>
            </w:pPr>
            <w:r>
              <w:t xml:space="preserve">Personel, maaş, puantaj, kilit, snapshot, permission görünürlüğü tamam olmalı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Stock Ready</w:t>
            </w:r>
          </w:p>
        </w:tc>
        <w:tc>
          <w:tcPr/>
          <w:p>
            <w:pPr>
              <w:pStyle w:val="Compact"/>
            </w:pPr>
            <w:r>
              <w:t xml:space="preserve">Depo bazlı, unit_cost FIFO kullanan stok omurgasını kurmak</w:t>
            </w:r>
          </w:p>
        </w:tc>
        <w:tc>
          <w:tcPr/>
          <w:p>
            <w:pPr>
              <w:pStyle w:val="Compact"/>
            </w:pPr>
            <w:r>
              <w:t xml:space="preserve">M² legacy ana model olmadan stok giriş/çıkış/FIFO çalışmalı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Purchasing Ready</w:t>
            </w:r>
          </w:p>
        </w:tc>
        <w:tc>
          <w:tcPr/>
          <w:p>
            <w:pPr>
              <w:pStyle w:val="Compact"/>
            </w:pPr>
            <w:r>
              <w:t xml:space="preserve">V2 satınalma workflow’unu merkezi approval/modal sistemiyle taşımak</w:t>
            </w:r>
          </w:p>
        </w:tc>
        <w:tc>
          <w:tcPr/>
          <w:p>
            <w:pPr>
              <w:pStyle w:val="Compact"/>
            </w:pPr>
            <w:r>
              <w:t xml:space="preserve">Talep, onay, fiyat, mal kabul, partial delivery ve pending cost hazır olmalı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Finance Tracking Ready</w:t>
            </w:r>
          </w:p>
        </w:tc>
        <w:tc>
          <w:tcPr/>
          <w:p>
            <w:pPr>
              <w:pStyle w:val="Compact"/>
            </w:pPr>
            <w:r>
              <w:t xml:space="preserve">Resmi muhasebe değil, operasyonel finans takibini kurmak</w:t>
            </w:r>
          </w:p>
        </w:tc>
        <w:tc>
          <w:tcPr/>
          <w:p>
            <w:pPr>
              <w:pStyle w:val="Compact"/>
            </w:pPr>
            <w:r>
              <w:t xml:space="preserve">Cari, kasa/banka, fatura, ödeme, açılış bakiyesi ve bağlantılar net olmalı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9" w:name="gate-0-master-blueprint-freeze"/>
    <w:p>
      <w:pPr>
        <w:pStyle w:val="Heading2"/>
      </w:pPr>
      <w:r>
        <w:t xml:space="preserve">Gate 0 — Master Blueprint Freeze</w:t>
      </w:r>
    </w:p>
    <w:bookmarkStart w:id="12" w:name="amaç"/>
    <w:p>
      <w:pPr>
        <w:pStyle w:val="Heading3"/>
      </w:pPr>
      <w:r>
        <w:t xml:space="preserve">Amaç</w:t>
      </w:r>
    </w:p>
    <w:p>
      <w:pPr>
        <w:pStyle w:val="FirstParagraph"/>
      </w:pPr>
      <w:r>
        <w:t xml:space="preserve">Kod başlamadan önce tüm V3 mimarisini, modül kapsamlarını, entegrasyonları, V2’den taşınacak/taşınmayacak kararları ve kabul kriterlerini kilitlemek.</w:t>
      </w:r>
    </w:p>
    <w:bookmarkEnd w:id="12"/>
    <w:bookmarkStart w:id="13" w:name="kapsam"/>
    <w:p>
      <w:pPr>
        <w:pStyle w:val="Heading3"/>
      </w:pPr>
      <w:r>
        <w:t xml:space="preserve">Kapsam</w:t>
      </w:r>
    </w:p>
    <w:p>
      <w:pPr>
        <w:pStyle w:val="Compact"/>
        <w:numPr>
          <w:ilvl w:val="0"/>
          <w:numId w:val="1002"/>
        </w:numPr>
      </w:pPr>
      <w:r>
        <w:t xml:space="preserve">Central UI Design System blueprint</w:t>
      </w:r>
    </w:p>
    <w:p>
      <w:pPr>
        <w:pStyle w:val="Compact"/>
        <w:numPr>
          <w:ilvl w:val="0"/>
          <w:numId w:val="1002"/>
        </w:numPr>
      </w:pPr>
      <w:r>
        <w:t xml:space="preserve">Admin Control System blueprint</w:t>
      </w:r>
    </w:p>
    <w:p>
      <w:pPr>
        <w:pStyle w:val="Compact"/>
        <w:numPr>
          <w:ilvl w:val="0"/>
          <w:numId w:val="1002"/>
        </w:numPr>
      </w:pPr>
      <w:r>
        <w:t xml:space="preserve">Migration &amp; Module Registry blueprint</w:t>
      </w:r>
    </w:p>
    <w:p>
      <w:pPr>
        <w:pStyle w:val="Compact"/>
        <w:numPr>
          <w:ilvl w:val="0"/>
          <w:numId w:val="1002"/>
        </w:numPr>
      </w:pPr>
      <w:r>
        <w:t xml:space="preserve">Permission / role / position permission blueprint</w:t>
      </w:r>
    </w:p>
    <w:p>
      <w:pPr>
        <w:pStyle w:val="Compact"/>
        <w:numPr>
          <w:ilvl w:val="0"/>
          <w:numId w:val="1002"/>
        </w:numPr>
      </w:pPr>
      <w:r>
        <w:t xml:space="preserve">Country / Currency / Language blueprint</w:t>
      </w:r>
    </w:p>
    <w:p>
      <w:pPr>
        <w:pStyle w:val="Compact"/>
        <w:numPr>
          <w:ilvl w:val="0"/>
          <w:numId w:val="1002"/>
        </w:numPr>
      </w:pPr>
      <w:r>
        <w:t xml:space="preserve">HR Full Blueprint</w:t>
      </w:r>
    </w:p>
    <w:p>
      <w:pPr>
        <w:pStyle w:val="Compact"/>
        <w:numPr>
          <w:ilvl w:val="0"/>
          <w:numId w:val="1002"/>
        </w:numPr>
      </w:pPr>
      <w:r>
        <w:t xml:space="preserve">Stock Full Blueprint</w:t>
      </w:r>
    </w:p>
    <w:p>
      <w:pPr>
        <w:pStyle w:val="Compact"/>
        <w:numPr>
          <w:ilvl w:val="0"/>
          <w:numId w:val="1002"/>
        </w:numPr>
      </w:pPr>
      <w:r>
        <w:t xml:space="preserve">Purchasing Full Blueprint</w:t>
      </w:r>
    </w:p>
    <w:p>
      <w:pPr>
        <w:pStyle w:val="Compact"/>
        <w:numPr>
          <w:ilvl w:val="0"/>
          <w:numId w:val="1002"/>
        </w:numPr>
      </w:pPr>
      <w:r>
        <w:t xml:space="preserve">Finance Tracking Data Contract</w:t>
      </w:r>
    </w:p>
    <w:p>
      <w:pPr>
        <w:pStyle w:val="Compact"/>
        <w:numPr>
          <w:ilvl w:val="0"/>
          <w:numId w:val="1002"/>
        </w:numPr>
      </w:pPr>
      <w:r>
        <w:t xml:space="preserve">Integration Map</w:t>
      </w:r>
    </w:p>
    <w:p>
      <w:pPr>
        <w:pStyle w:val="Compact"/>
        <w:numPr>
          <w:ilvl w:val="0"/>
          <w:numId w:val="1002"/>
        </w:numPr>
      </w:pPr>
      <w:r>
        <w:t xml:space="preserve">Modal Flow Inventory</w:t>
      </w:r>
    </w:p>
    <w:p>
      <w:pPr>
        <w:pStyle w:val="Compact"/>
        <w:numPr>
          <w:ilvl w:val="0"/>
          <w:numId w:val="1002"/>
        </w:numPr>
      </w:pPr>
      <w:r>
        <w:t xml:space="preserve">V2’den taşınacaklar / taşınmayacaklar listesi</w:t>
      </w:r>
    </w:p>
    <w:p>
      <w:pPr>
        <w:pStyle w:val="FirstParagraph"/>
      </w:pPr>
      <w:r>
        <w:rPr>
          <w:b/>
          <w:bCs/>
        </w:rPr>
        <w:t xml:space="preserve">Spec dosyaları:</w:t>
      </w:r>
      <w:r>
        <w:t xml:space="preserve"> </w:t>
      </w:r>
      <w:r>
        <w:rPr>
          <w:rStyle w:val="VerbatimChar"/>
        </w:rPr>
        <w:t xml:space="preserve">docs/v3-spec/</w:t>
      </w:r>
      <w:r>
        <w:t xml:space="preserve"> </w:t>
      </w:r>
      <w:r>
        <w:t xml:space="preserve">(bkz. README)</w:t>
      </w:r>
    </w:p>
    <w:bookmarkEnd w:id="13"/>
    <w:bookmarkStart w:id="14" w:name="kabul-kriterleri"/>
    <w:p>
      <w:pPr>
        <w:pStyle w:val="Heading3"/>
      </w:pPr>
      <w:r>
        <w:t xml:space="preserve">Kabul Kriterleri</w:t>
      </w:r>
    </w:p>
    <w:p>
      <w:pPr>
        <w:pStyle w:val="Compact"/>
        <w:numPr>
          <w:ilvl w:val="0"/>
          <w:numId w:val="1003"/>
        </w:numPr>
      </w:pPr>
      <w:r>
        <w:t xml:space="preserve">V3’te kullanılacak UI bileşenleri ve sayfa özel CSS yasağı yazılı olmalı.</w:t>
      </w:r>
    </w:p>
    <w:p>
      <w:pPr>
        <w:pStyle w:val="Compact"/>
        <w:numPr>
          <w:ilvl w:val="0"/>
          <w:numId w:val="1004"/>
        </w:numPr>
      </w:pPr>
      <w:r>
        <w:t xml:space="preserve">Admin registry tabloları ve modül manifest kuralı net olmalı.</w:t>
      </w:r>
    </w:p>
    <w:p>
      <w:pPr>
        <w:pStyle w:val="Compact"/>
        <w:numPr>
          <w:ilvl w:val="0"/>
          <w:numId w:val="1005"/>
        </w:numPr>
      </w:pPr>
      <w:r>
        <w:t xml:space="preserve">Migration runner, schema_migrations, migration_runs, seed ayrımı ve checksum kuralı net olmalı.</w:t>
      </w:r>
    </w:p>
    <w:p>
      <w:pPr>
        <w:pStyle w:val="Compact"/>
        <w:numPr>
          <w:ilvl w:val="0"/>
          <w:numId w:val="1006"/>
        </w:numPr>
      </w:pPr>
      <w:r>
        <w:t xml:space="preserve">local_currency, base_reporting_currency, transaction currency ve USD’nin korunması kuralları net olmalı.</w:t>
      </w:r>
    </w:p>
    <w:p>
      <w:pPr>
        <w:pStyle w:val="Compact"/>
        <w:numPr>
          <w:ilvl w:val="0"/>
          <w:numId w:val="1007"/>
        </w:numPr>
      </w:pPr>
      <w:r>
        <w:t xml:space="preserve">HR, Stock, Purchasing ve Finance için tam kapsam yazılı olmalı; mini veya eksik modül yaklaşımı olmamalı.</w:t>
      </w:r>
    </w:p>
    <w:p>
      <w:pPr>
        <w:pStyle w:val="Compact"/>
        <w:numPr>
          <w:ilvl w:val="0"/>
          <w:numId w:val="1008"/>
        </w:numPr>
      </w:pPr>
      <w:r>
        <w:t xml:space="preserve">Stokta m² legacy maliyet modelinin taşınmayacağı açıkça yazılmış olmalı.</w:t>
      </w:r>
    </w:p>
    <w:p>
      <w:pPr>
        <w:pStyle w:val="Compact"/>
        <w:numPr>
          <w:ilvl w:val="0"/>
          <w:numId w:val="1009"/>
        </w:numPr>
      </w:pPr>
      <w:r>
        <w:t xml:space="preserve">Satınalmada fiyat kaydetme, mal kabul, stok hareketi ve finansal kesinleşme ayrımı yazılı olmalı.</w:t>
      </w:r>
    </w:p>
    <w:p>
      <w:pPr>
        <w:pStyle w:val="Compact"/>
        <w:numPr>
          <w:ilvl w:val="0"/>
          <w:numId w:val="1010"/>
        </w:numPr>
      </w:pPr>
      <w:r>
        <w:t xml:space="preserve">V2 popup/modal akışları flowId mantığıyla envantere alınmış olmalı (≥20 kayıt).</w:t>
      </w:r>
    </w:p>
    <w:bookmarkEnd w:id="14"/>
    <w:bookmarkStart w:id="15" w:name="riskler"/>
    <w:p>
      <w:pPr>
        <w:pStyle w:val="Heading3"/>
      </w:pPr>
      <w:r>
        <w:t xml:space="preserve">Riskler</w:t>
      </w:r>
    </w:p>
    <w:p>
      <w:pPr>
        <w:pStyle w:val="Compact"/>
        <w:numPr>
          <w:ilvl w:val="0"/>
          <w:numId w:val="1011"/>
        </w:numPr>
      </w:pPr>
      <w:r>
        <w:t xml:space="preserve">Eksik blueprint ile koda başlanırsa V3 de V2 gibi patch zincirine dönebilir.</w:t>
      </w:r>
    </w:p>
    <w:p>
      <w:pPr>
        <w:pStyle w:val="Compact"/>
        <w:numPr>
          <w:ilvl w:val="0"/>
          <w:numId w:val="1011"/>
        </w:numPr>
      </w:pPr>
      <w:r>
        <w:t xml:space="preserve">Modül bağlantıları baştan çizilmezse HR, stok, satınalma ve finans sonradan kopuk bağlanır.</w:t>
      </w:r>
    </w:p>
    <w:p>
      <w:pPr>
        <w:pStyle w:val="Compact"/>
        <w:numPr>
          <w:ilvl w:val="0"/>
          <w:numId w:val="1011"/>
        </w:numPr>
      </w:pPr>
      <w:r>
        <w:t xml:space="preserve">Currency veya FIFO kararları netleşmezse finans modülü yanlış veri üzerine kurulur.</w:t>
      </w:r>
    </w:p>
    <w:bookmarkEnd w:id="15"/>
    <w:bookmarkStart w:id="16" w:name="test-doğrulama-senaryoları"/>
    <w:p>
      <w:pPr>
        <w:pStyle w:val="Heading3"/>
      </w:pPr>
      <w:r>
        <w:t xml:space="preserve">Test / Doğrulama Senaryoları</w:t>
      </w:r>
    </w:p>
    <w:p>
      <w:pPr>
        <w:pStyle w:val="Compact"/>
        <w:numPr>
          <w:ilvl w:val="0"/>
          <w:numId w:val="1012"/>
        </w:numPr>
      </w:pPr>
      <w:r>
        <w:t xml:space="preserve">Her blueprint başlığı için onay kutusu listesi hazırlanır (</w:t>
      </w:r>
      <w:r>
        <w:rPr>
          <w:rStyle w:val="VerbatimChar"/>
        </w:rPr>
        <w:t xml:space="preserve">00-gate0-checklist.md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V2 ekranları ve servisleri referans gösterilerek modül kapsamı doğrulanır.</w:t>
      </w:r>
    </w:p>
    <w:p>
      <w:pPr>
        <w:pStyle w:val="Compact"/>
        <w:numPr>
          <w:ilvl w:val="0"/>
          <w:numId w:val="1012"/>
        </w:numPr>
      </w:pPr>
      <w:r>
        <w:t xml:space="preserve">Bir modülün bağlı olduğu diğer modüller integration map üzerinde işaretlenir (≥10 sözleşme).</w:t>
      </w:r>
    </w:p>
    <w:bookmarkEnd w:id="16"/>
    <w:bookmarkStart w:id="17" w:name="v2-referans-noktaları"/>
    <w:p>
      <w:pPr>
        <w:pStyle w:val="Heading3"/>
      </w:pPr>
      <w:r>
        <w:t xml:space="preserve">V2 Referans Noktaları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V2 HR:</w:t>
      </w:r>
      <w:r>
        <w:t xml:space="preserve"> </w:t>
      </w:r>
      <w:r>
        <w:t xml:space="preserve">personel, maaş, puantaj, ay kilidi, payroll snapshot, permission visibility.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V2 Stock:</w:t>
      </w:r>
      <w:r>
        <w:t xml:space="preserve"> </w:t>
      </w:r>
      <w:r>
        <w:t xml:space="preserve">ürün, depo, giriş/çıkış, hareket, FIFO, void/replace.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V2 Purchasing:</w:t>
      </w:r>
      <w:r>
        <w:t xml:space="preserve"> </w:t>
      </w:r>
      <w:r>
        <w:t xml:space="preserve">talep, onay, sipariş, fiyatlandırma, mal kabul, kısmi teslimat.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V2 Admin:</w:t>
      </w:r>
      <w:r>
        <w:t xml:space="preserve"> </w:t>
      </w:r>
      <w:r>
        <w:t xml:space="preserve">log, backup, kullanıcı/rol/permission deneyimi.</w:t>
      </w:r>
    </w:p>
    <w:bookmarkEnd w:id="17"/>
    <w:bookmarkStart w:id="18" w:name="X243d67ed4c2fb30ff14cb19d979f899e94323f9"/>
    <w:p>
      <w:pPr>
        <w:pStyle w:val="Heading3"/>
      </w:pPr>
      <w:r>
        <w:t xml:space="preserve">Bu Gate Tamamlanmadan Başlanmayacak İşler</w:t>
      </w:r>
    </w:p>
    <w:p>
      <w:pPr>
        <w:pStyle w:val="Compact"/>
        <w:numPr>
          <w:ilvl w:val="0"/>
          <w:numId w:val="1014"/>
        </w:numPr>
      </w:pPr>
      <w:r>
        <w:t xml:space="preserve">V3 repo geliştirmesine tam kapsamlı başlanmayacak.</w:t>
      </w:r>
    </w:p>
    <w:p>
      <w:pPr>
        <w:pStyle w:val="Compact"/>
        <w:numPr>
          <w:ilvl w:val="0"/>
          <w:numId w:val="1014"/>
        </w:numPr>
      </w:pPr>
      <w:r>
        <w:t xml:space="preserve">Core UI/Admin/Migration kodu yazılmayacak.</w:t>
      </w:r>
    </w:p>
    <w:p>
      <w:pPr>
        <w:pStyle w:val="Compact"/>
        <w:numPr>
          <w:ilvl w:val="0"/>
          <w:numId w:val="1014"/>
        </w:numPr>
      </w:pPr>
      <w:r>
        <w:t xml:space="preserve">HR/Stock/Purchasing modül kodlarına başlanmayacak.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7" w:name="gate-1-core-system-ready"/>
    <w:p>
      <w:pPr>
        <w:pStyle w:val="Heading2"/>
      </w:pPr>
      <w:r>
        <w:t xml:space="preserve">Gate 1 — Core System Ready</w:t>
      </w:r>
    </w:p>
    <w:bookmarkStart w:id="20" w:name="amaç-1"/>
    <w:p>
      <w:pPr>
        <w:pStyle w:val="Heading3"/>
      </w:pPr>
      <w:r>
        <w:t xml:space="preserve">Amaç</w:t>
      </w:r>
    </w:p>
    <w:p>
      <w:pPr>
        <w:pStyle w:val="FirstParagraph"/>
      </w:pPr>
      <w:r>
        <w:t xml:space="preserve">Tüm modülleri taşıyacak merkezi UI, admin panel, registry, migration, config, permission, audit ve backup omurgasını kurmak.</w:t>
      </w:r>
    </w:p>
    <w:bookmarkEnd w:id="20"/>
    <w:bookmarkStart w:id="21" w:name="kapsam-1"/>
    <w:p>
      <w:pPr>
        <w:pStyle w:val="Heading3"/>
      </w:pPr>
      <w:r>
        <w:t xml:space="preserve">Kapsam</w:t>
      </w:r>
    </w:p>
    <w:p>
      <w:pPr>
        <w:pStyle w:val="Compact"/>
        <w:numPr>
          <w:ilvl w:val="0"/>
          <w:numId w:val="1015"/>
        </w:numPr>
      </w:pPr>
      <w:r>
        <w:t xml:space="preserve">AppShell, Sidebar, Topbar, PageHeader, Card</w:t>
      </w:r>
    </w:p>
    <w:p>
      <w:pPr>
        <w:pStyle w:val="Compact"/>
        <w:numPr>
          <w:ilvl w:val="0"/>
          <w:numId w:val="1015"/>
        </w:numPr>
      </w:pPr>
      <w:r>
        <w:t xml:space="preserve">Button, DataTable, Modal, ConfirmDialog, Toast</w:t>
      </w:r>
    </w:p>
    <w:p>
      <w:pPr>
        <w:pStyle w:val="Compact"/>
        <w:numPr>
          <w:ilvl w:val="0"/>
          <w:numId w:val="1015"/>
        </w:numPr>
      </w:pPr>
      <w:r>
        <w:t xml:space="preserve">FormField, FilterBar, Tabs, Pagination, Badge</w:t>
      </w:r>
    </w:p>
    <w:p>
      <w:pPr>
        <w:pStyle w:val="Compact"/>
        <w:numPr>
          <w:ilvl w:val="0"/>
          <w:numId w:val="1015"/>
        </w:numPr>
      </w:pPr>
      <w:r>
        <w:t xml:space="preserve">CurrencyField, DateField</w:t>
      </w:r>
    </w:p>
    <w:p>
      <w:pPr>
        <w:pStyle w:val="Compact"/>
        <w:numPr>
          <w:ilvl w:val="0"/>
          <w:numId w:val="1015"/>
        </w:numPr>
      </w:pPr>
      <w:r>
        <w:t xml:space="preserve">Admin module/page/card/action registry</w:t>
      </w:r>
    </w:p>
    <w:p>
      <w:pPr>
        <w:pStyle w:val="Compact"/>
        <w:numPr>
          <w:ilvl w:val="0"/>
          <w:numId w:val="1015"/>
        </w:numPr>
      </w:pPr>
      <w:r>
        <w:t xml:space="preserve">PermissionGate / RegistryGate</w:t>
      </w:r>
    </w:p>
    <w:p>
      <w:pPr>
        <w:pStyle w:val="Compact"/>
        <w:numPr>
          <w:ilvl w:val="0"/>
          <w:numId w:val="1015"/>
        </w:numPr>
      </w:pPr>
      <w:r>
        <w:t xml:space="preserve">Migration runner, schema_migrations, migration_runs</w:t>
      </w:r>
    </w:p>
    <w:p>
      <w:pPr>
        <w:pStyle w:val="Compact"/>
        <w:numPr>
          <w:ilvl w:val="0"/>
          <w:numId w:val="1015"/>
        </w:numPr>
      </w:pPr>
      <w:r>
        <w:t xml:space="preserve">Module manifest ve modules:register</w:t>
      </w:r>
    </w:p>
    <w:p>
      <w:pPr>
        <w:pStyle w:val="Compact"/>
        <w:numPr>
          <w:ilvl w:val="0"/>
          <w:numId w:val="1015"/>
        </w:numPr>
      </w:pPr>
      <w:r>
        <w:t xml:space="preserve">Seed separation</w:t>
      </w:r>
    </w:p>
    <w:p>
      <w:pPr>
        <w:pStyle w:val="Compact"/>
        <w:numPr>
          <w:ilvl w:val="0"/>
          <w:numId w:val="1015"/>
        </w:numPr>
      </w:pPr>
      <w:r>
        <w:t xml:space="preserve">Public config: locale, localCurrency, baseReportingCurrency</w:t>
      </w:r>
    </w:p>
    <w:p>
      <w:pPr>
        <w:pStyle w:val="Compact"/>
        <w:numPr>
          <w:ilvl w:val="0"/>
          <w:numId w:val="1015"/>
        </w:numPr>
      </w:pPr>
      <w:r>
        <w:t xml:space="preserve">Audit log middleware</w:t>
      </w:r>
    </w:p>
    <w:p>
      <w:pPr>
        <w:pStyle w:val="Compact"/>
        <w:numPr>
          <w:ilvl w:val="0"/>
          <w:numId w:val="1015"/>
        </w:numPr>
      </w:pPr>
      <w:r>
        <w:t xml:space="preserve">Manual backup temel altyapısı</w:t>
      </w:r>
    </w:p>
    <w:p>
      <w:pPr>
        <w:pStyle w:val="Compact"/>
        <w:numPr>
          <w:ilvl w:val="0"/>
          <w:numId w:val="1015"/>
        </w:numPr>
      </w:pPr>
      <w:r>
        <w:t xml:space="preserve">Responsive test matrix (1366, 1024, 768, mobil)</w:t>
      </w:r>
    </w:p>
    <w:bookmarkEnd w:id="21"/>
    <w:bookmarkStart w:id="22" w:name="kabul-kriterleri-1"/>
    <w:p>
      <w:pPr>
        <w:pStyle w:val="Heading3"/>
      </w:pPr>
      <w:r>
        <w:t xml:space="preserve">Kabul Kriterleri</w:t>
      </w:r>
    </w:p>
    <w:p>
      <w:pPr>
        <w:pStyle w:val="Compact"/>
        <w:numPr>
          <w:ilvl w:val="0"/>
          <w:numId w:val="1016"/>
        </w:numPr>
      </w:pPr>
      <w:r>
        <w:t xml:space="preserve">Yeni bir sayfa özel CSS yazmadan merkezi AppShell içine eklenebilmeli.</w:t>
      </w:r>
    </w:p>
    <w:p>
      <w:pPr>
        <w:pStyle w:val="Compact"/>
        <w:numPr>
          <w:ilvl w:val="0"/>
          <w:numId w:val="1017"/>
        </w:numPr>
      </w:pPr>
      <w:r>
        <w:t xml:space="preserve">Admin panelden modül/sayfa pasif yapılınca hem menüden gizlenmeli hem API erişimi engellenmeli.</w:t>
      </w:r>
    </w:p>
    <w:p>
      <w:pPr>
        <w:pStyle w:val="Compact"/>
        <w:numPr>
          <w:ilvl w:val="0"/>
          <w:numId w:val="1018"/>
        </w:numPr>
      </w:pPr>
      <w:r>
        <w:t xml:space="preserve">Migration runner status, checksum ve failed log üretebilmeli.</w:t>
      </w:r>
    </w:p>
    <w:p>
      <w:pPr>
        <w:pStyle w:val="Compact"/>
        <w:numPr>
          <w:ilvl w:val="0"/>
          <w:numId w:val="1019"/>
        </w:numPr>
      </w:pPr>
      <w:r>
        <w:t xml:space="preserve">localStorage yoksa default_locale devreye girmeli.</w:t>
      </w:r>
    </w:p>
    <w:p>
      <w:pPr>
        <w:pStyle w:val="Compact"/>
        <w:numPr>
          <w:ilvl w:val="0"/>
          <w:numId w:val="1020"/>
        </w:numPr>
      </w:pPr>
      <w:r>
        <w:t xml:space="preserve">Yeni formlarda local_currency varsayılan olarak kullanılmalı; USD kayıtlar USD kalmalı.</w:t>
      </w:r>
    </w:p>
    <w:p>
      <w:pPr>
        <w:pStyle w:val="Compact"/>
        <w:numPr>
          <w:ilvl w:val="0"/>
          <w:numId w:val="1021"/>
        </w:numPr>
      </w:pPr>
      <w:r>
        <w:t xml:space="preserve">DataTable hiçbir ekranda kart dışına taşmamalı; wrapper içinde yatay scroll olmalı.</w:t>
      </w:r>
    </w:p>
    <w:p>
      <w:pPr>
        <w:pStyle w:val="Compact"/>
        <w:numPr>
          <w:ilvl w:val="0"/>
          <w:numId w:val="1022"/>
        </w:numPr>
      </w:pPr>
      <w:r>
        <w:t xml:space="preserve">Modal/Confirm/Toast tüm modüller için tek merkezden çalışmalı.</w:t>
      </w:r>
    </w:p>
    <w:p>
      <w:pPr>
        <w:pStyle w:val="Compact"/>
        <w:numPr>
          <w:ilvl w:val="0"/>
          <w:numId w:val="1023"/>
        </w:numPr>
      </w:pPr>
      <w:r>
        <w:t xml:space="preserve">1366, 1024, 768 ve mobil kontrol testleri temel demo sayfalarında geçmeli.</w:t>
      </w:r>
    </w:p>
    <w:bookmarkEnd w:id="22"/>
    <w:bookmarkStart w:id="23" w:name="riskler-1"/>
    <w:p>
      <w:pPr>
        <w:pStyle w:val="Heading3"/>
      </w:pPr>
      <w:r>
        <w:t xml:space="preserve">Riskler</w:t>
      </w:r>
    </w:p>
    <w:p>
      <w:pPr>
        <w:pStyle w:val="Compact"/>
        <w:numPr>
          <w:ilvl w:val="0"/>
          <w:numId w:val="1024"/>
        </w:numPr>
      </w:pPr>
      <w:r>
        <w:t xml:space="preserve">UI paketi zayıf kurulursa her modül yeniden özel CSS yazmaya başlar.</w:t>
      </w:r>
    </w:p>
    <w:p>
      <w:pPr>
        <w:pStyle w:val="Compact"/>
        <w:numPr>
          <w:ilvl w:val="0"/>
          <w:numId w:val="1024"/>
        </w:numPr>
      </w:pPr>
      <w:r>
        <w:t xml:space="preserve">Admin registry sadece frontend’de kalırsa güvenlik açığı oluşur.</w:t>
      </w:r>
    </w:p>
    <w:p>
      <w:pPr>
        <w:pStyle w:val="Compact"/>
        <w:numPr>
          <w:ilvl w:val="0"/>
          <w:numId w:val="1024"/>
        </w:numPr>
      </w:pPr>
      <w:r>
        <w:t xml:space="preserve">Migration sistemi zayıf olursa yeni kolon ve modül eklemeleri yine patch doğurur.</w:t>
      </w:r>
    </w:p>
    <w:bookmarkEnd w:id="23"/>
    <w:bookmarkStart w:id="24" w:name="test-doğrulama-senaryoları-1"/>
    <w:p>
      <w:pPr>
        <w:pStyle w:val="Heading3"/>
      </w:pPr>
      <w:r>
        <w:t xml:space="preserve">Test / Doğrulama Senaryoları</w:t>
      </w:r>
    </w:p>
    <w:p>
      <w:pPr>
        <w:pStyle w:val="Compact"/>
        <w:numPr>
          <w:ilvl w:val="0"/>
          <w:numId w:val="1025"/>
        </w:numPr>
      </w:pPr>
      <w:r>
        <w:t xml:space="preserve">Demo modül oluştur: manifest + migration + registry + permission + i18n ile görünmeli.</w:t>
      </w:r>
    </w:p>
    <w:p>
      <w:pPr>
        <w:pStyle w:val="Compact"/>
        <w:numPr>
          <w:ilvl w:val="0"/>
          <w:numId w:val="1025"/>
        </w:numPr>
      </w:pPr>
      <w:r>
        <w:t xml:space="preserve">Pasif sayfaya doğrudan URL/API isteği 403 dönmeli.</w:t>
      </w:r>
    </w:p>
    <w:p>
      <w:pPr>
        <w:pStyle w:val="Compact"/>
        <w:numPr>
          <w:ilvl w:val="0"/>
          <w:numId w:val="1025"/>
        </w:numPr>
      </w:pPr>
      <w:r>
        <w:t xml:space="preserve">Tablo test verisi 1024 genişlikte taşmamalı.</w:t>
      </w:r>
    </w:p>
    <w:p>
      <w:pPr>
        <w:pStyle w:val="Compact"/>
        <w:numPr>
          <w:ilvl w:val="0"/>
          <w:numId w:val="1025"/>
        </w:numPr>
      </w:pPr>
      <w:r>
        <w:t xml:space="preserve">Default locale ve local currency yeni tarayıcı/localStorage boş senaryoda doğru gelmeli.</w:t>
      </w:r>
    </w:p>
    <w:bookmarkEnd w:id="24"/>
    <w:bookmarkStart w:id="25" w:name="v2-referans-noktaları-1"/>
    <w:p>
      <w:pPr>
        <w:pStyle w:val="Heading3"/>
      </w:pPr>
      <w:r>
        <w:t xml:space="preserve">V2 Referans Noktaları</w:t>
      </w:r>
    </w:p>
    <w:p>
      <w:pPr>
        <w:pStyle w:val="Compact"/>
        <w:numPr>
          <w:ilvl w:val="0"/>
          <w:numId w:val="1026"/>
        </w:numPr>
      </w:pPr>
      <w:r>
        <w:t xml:space="preserve">V2 admin-users, admin-permissions, admin-settings, admin-logs, admin-backup deneyimi.</w:t>
      </w:r>
    </w:p>
    <w:p>
      <w:pPr>
        <w:pStyle w:val="Compact"/>
        <w:numPr>
          <w:ilvl w:val="0"/>
          <w:numId w:val="1026"/>
        </w:numPr>
      </w:pPr>
      <w:r>
        <w:t xml:space="preserve">V2 navigation ve permission eksikleri.</w:t>
      </w:r>
    </w:p>
    <w:p>
      <w:pPr>
        <w:pStyle w:val="Compact"/>
        <w:numPr>
          <w:ilvl w:val="0"/>
          <w:numId w:val="1026"/>
        </w:numPr>
      </w:pPr>
      <w:r>
        <w:t xml:space="preserve">V2 style.css ve sayfa bazlı responsive sorunları.</w:t>
      </w:r>
    </w:p>
    <w:bookmarkEnd w:id="25"/>
    <w:bookmarkStart w:id="26" w:name="Xede17afa242bfcd7b6e2bc7c1a663d7ec6f027d"/>
    <w:p>
      <w:pPr>
        <w:pStyle w:val="Heading3"/>
      </w:pPr>
      <w:r>
        <w:t xml:space="preserve">Bu Gate Tamamlanmadan Başlanmayacak İşler</w:t>
      </w:r>
    </w:p>
    <w:p>
      <w:pPr>
        <w:pStyle w:val="Compact"/>
        <w:numPr>
          <w:ilvl w:val="0"/>
          <w:numId w:val="1027"/>
        </w:numPr>
      </w:pPr>
      <w:r>
        <w:t xml:space="preserve">HR modülü kodlaması başlamayacak.</w:t>
      </w:r>
    </w:p>
    <w:p>
      <w:pPr>
        <w:pStyle w:val="Compact"/>
        <w:numPr>
          <w:ilvl w:val="0"/>
          <w:numId w:val="1027"/>
        </w:numPr>
      </w:pPr>
      <w:r>
        <w:t xml:space="preserve">Stock ve Purchasing modülleri eklenmeyecek.</w:t>
      </w:r>
    </w:p>
    <w:p>
      <w:pPr>
        <w:pStyle w:val="Compact"/>
        <w:numPr>
          <w:ilvl w:val="0"/>
          <w:numId w:val="1027"/>
        </w:numPr>
      </w:pPr>
      <w:r>
        <w:t xml:space="preserve">Finance Tracking veri tabanı oluşturulmayacak.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gate-2-hr-ready"/>
    <w:p>
      <w:pPr>
        <w:pStyle w:val="Heading2"/>
      </w:pPr>
      <w:r>
        <w:t xml:space="preserve">Gate 2 — HR Ready</w:t>
      </w:r>
    </w:p>
    <w:bookmarkStart w:id="28" w:name="amaç-2"/>
    <w:p>
      <w:pPr>
        <w:pStyle w:val="Heading3"/>
      </w:pPr>
      <w:r>
        <w:t xml:space="preserve">Amaç</w:t>
      </w:r>
    </w:p>
    <w:p>
      <w:pPr>
        <w:pStyle w:val="FirstParagraph"/>
      </w:pPr>
      <w:r>
        <w:t xml:space="preserve">V2’de büyük ölçüde çalışan HR modülünü eksik/mini yapmadan, merkezi UI/admin/permission/currency yapısına uygun şekilde V3’e taşımak.</w:t>
      </w:r>
    </w:p>
    <w:bookmarkEnd w:id="28"/>
    <w:bookmarkStart w:id="29" w:name="kapsam-2"/>
    <w:p>
      <w:pPr>
        <w:pStyle w:val="Heading3"/>
      </w:pPr>
      <w:r>
        <w:t xml:space="preserve">Kapsam</w:t>
      </w:r>
    </w:p>
    <w:p>
      <w:pPr>
        <w:pStyle w:val="Compact"/>
        <w:numPr>
          <w:ilvl w:val="0"/>
          <w:numId w:val="1028"/>
        </w:numPr>
      </w:pPr>
      <w:r>
        <w:t xml:space="preserve">Employee profile tam alan seti</w:t>
      </w:r>
    </w:p>
    <w:p>
      <w:pPr>
        <w:pStyle w:val="Compact"/>
        <w:numPr>
          <w:ilvl w:val="0"/>
          <w:numId w:val="1028"/>
        </w:numPr>
      </w:pPr>
      <w:r>
        <w:t xml:space="preserve">Department, position, user link</w:t>
      </w:r>
    </w:p>
    <w:p>
      <w:pPr>
        <w:pStyle w:val="Compact"/>
        <w:numPr>
          <w:ilvl w:val="0"/>
          <w:numId w:val="1028"/>
        </w:numPr>
      </w:pPr>
      <w:r>
        <w:t xml:space="preserve">Role/permission/position permission bağlantısı</w:t>
      </w:r>
    </w:p>
    <w:p>
      <w:pPr>
        <w:pStyle w:val="Compact"/>
        <w:numPr>
          <w:ilvl w:val="0"/>
          <w:numId w:val="1028"/>
        </w:numPr>
      </w:pPr>
      <w:r>
        <w:t xml:space="preserve">Nationality, address, hire date,</w:t>
      </w:r>
      <w:r>
        <w:t xml:space="preserve"> </w:t>
      </w:r>
      <w:r>
        <w:rPr>
          <w:b/>
          <w:bCs/>
        </w:rPr>
        <w:t xml:space="preserve">termination date</w:t>
      </w:r>
    </w:p>
    <w:p>
      <w:pPr>
        <w:pStyle w:val="Compact"/>
        <w:numPr>
          <w:ilvl w:val="0"/>
          <w:numId w:val="1028"/>
        </w:numPr>
      </w:pPr>
      <w:r>
        <w:t xml:space="preserve">Salary structure, official/unofficial split</w:t>
      </w:r>
    </w:p>
    <w:p>
      <w:pPr>
        <w:pStyle w:val="Compact"/>
        <w:numPr>
          <w:ilvl w:val="0"/>
          <w:numId w:val="1028"/>
        </w:numPr>
      </w:pPr>
      <w:r>
        <w:t xml:space="preserve">Salary currency ve local/USD ayrımı</w:t>
      </w:r>
    </w:p>
    <w:p>
      <w:pPr>
        <w:pStyle w:val="Compact"/>
        <w:numPr>
          <w:ilvl w:val="0"/>
          <w:numId w:val="1028"/>
        </w:numPr>
      </w:pPr>
      <w:r>
        <w:t xml:space="preserve">Overtime eligible</w:t>
      </w:r>
    </w:p>
    <w:p>
      <w:pPr>
        <w:pStyle w:val="Compact"/>
        <w:numPr>
          <w:ilvl w:val="0"/>
          <w:numId w:val="1028"/>
        </w:numPr>
      </w:pPr>
      <w:r>
        <w:t xml:space="preserve">Attendance daily/monthly</w:t>
      </w:r>
    </w:p>
    <w:p>
      <w:pPr>
        <w:pStyle w:val="Compact"/>
        <w:numPr>
          <w:ilvl w:val="0"/>
          <w:numId w:val="1028"/>
        </w:numPr>
      </w:pPr>
      <w:r>
        <w:t xml:space="preserve">Day types, work statuses, overtime minutes</w:t>
      </w:r>
    </w:p>
    <w:p>
      <w:pPr>
        <w:pStyle w:val="Compact"/>
        <w:numPr>
          <w:ilvl w:val="0"/>
          <w:numId w:val="1028"/>
        </w:numPr>
      </w:pPr>
      <w:r>
        <w:t xml:space="preserve">Monthly lock</w:t>
      </w:r>
    </w:p>
    <w:p>
      <w:pPr>
        <w:pStyle w:val="Compact"/>
        <w:numPr>
          <w:ilvl w:val="0"/>
          <w:numId w:val="1028"/>
        </w:numPr>
      </w:pPr>
      <w:r>
        <w:t xml:space="preserve">Payroll snapshot</w:t>
      </w:r>
    </w:p>
    <w:p>
      <w:pPr>
        <w:pStyle w:val="Compact"/>
        <w:numPr>
          <w:ilvl w:val="0"/>
          <w:numId w:val="1028"/>
        </w:numPr>
      </w:pPr>
      <w:r>
        <w:t xml:space="preserve">Permission-based salary visibility</w:t>
      </w:r>
    </w:p>
    <w:p>
      <w:pPr>
        <w:pStyle w:val="Compact"/>
        <w:numPr>
          <w:ilvl w:val="0"/>
          <w:numId w:val="1028"/>
        </w:numPr>
      </w:pPr>
      <w:r>
        <w:t xml:space="preserve">Profile integration</w:t>
      </w:r>
    </w:p>
    <w:p>
      <w:pPr>
        <w:pStyle w:val="Compact"/>
        <w:numPr>
          <w:ilvl w:val="0"/>
          <w:numId w:val="1028"/>
        </w:numPr>
      </w:pPr>
      <w:r>
        <w:t xml:space="preserve">Finance payment tracking hazırlığı</w:t>
      </w:r>
    </w:p>
    <w:bookmarkEnd w:id="29"/>
    <w:bookmarkStart w:id="30" w:name="kabul-kriterleri-2"/>
    <w:p>
      <w:pPr>
        <w:pStyle w:val="Heading3"/>
      </w:pPr>
      <w:r>
        <w:t xml:space="preserve">Kabul Kriterleri</w:t>
      </w:r>
    </w:p>
    <w:p>
      <w:pPr>
        <w:pStyle w:val="Compact"/>
        <w:numPr>
          <w:ilvl w:val="0"/>
          <w:numId w:val="1029"/>
        </w:numPr>
      </w:pPr>
      <w:r>
        <w:t xml:space="preserve">V2 computeWageBreakdown veya eşdeğer</w:t>
      </w:r>
      <w:r>
        <w:t xml:space="preserve"> </w:t>
      </w:r>
      <w:r>
        <w:rPr>
          <w:b/>
          <w:bCs/>
        </w:rPr>
        <w:t xml:space="preserve">WageEngine</w:t>
      </w:r>
      <w:r>
        <w:t xml:space="preserve"> </w:t>
      </w:r>
      <w:r>
        <w:t xml:space="preserve">tek merkezde çalışmalı; frontend maaş hesabı yapmamalı.</w:t>
      </w:r>
    </w:p>
    <w:p>
      <w:pPr>
        <w:pStyle w:val="Compact"/>
        <w:numPr>
          <w:ilvl w:val="0"/>
          <w:numId w:val="1030"/>
        </w:numPr>
      </w:pPr>
      <w:r>
        <w:t xml:space="preserve">Maaş alanları permission yoksa API cevabında</w:t>
      </w:r>
      <w:r>
        <w:t xml:space="preserve"> </w:t>
      </w:r>
      <w:r>
        <w:rPr>
          <w:b/>
          <w:bCs/>
        </w:rPr>
        <w:t xml:space="preserve">redacted</w:t>
      </w:r>
      <w:r>
        <w:t xml:space="preserve"> </w:t>
      </w:r>
      <w:r>
        <w:t xml:space="preserve">olmalı (liste</w:t>
      </w:r>
      <w:r>
        <w:t xml:space="preserve"> </w:t>
      </w:r>
      <w:r>
        <w:rPr>
          <w:b/>
          <w:bCs/>
        </w:rPr>
        <w:t xml:space="preserve">ve detay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employee.user_id ilişkisi tutarlı ve duplicate personel oluşturmayan şekilde çalışmalı.</w:t>
      </w:r>
    </w:p>
    <w:p>
      <w:pPr>
        <w:pStyle w:val="Compact"/>
        <w:numPr>
          <w:ilvl w:val="0"/>
          <w:numId w:val="1032"/>
        </w:numPr>
      </w:pPr>
      <w:r>
        <w:t xml:space="preserve">termination_date ve termination_reason V3 veri modelinde olmalı.</w:t>
      </w:r>
    </w:p>
    <w:p>
      <w:pPr>
        <w:pStyle w:val="Compact"/>
        <w:numPr>
          <w:ilvl w:val="0"/>
          <w:numId w:val="1033"/>
        </w:numPr>
      </w:pPr>
      <w:r>
        <w:t xml:space="preserve">Ay kilidi oluşunca payroll snapshot donmalı.</w:t>
      </w:r>
    </w:p>
    <w:p>
      <w:pPr>
        <w:pStyle w:val="Compact"/>
        <w:numPr>
          <w:ilvl w:val="0"/>
          <w:numId w:val="1034"/>
        </w:numPr>
      </w:pPr>
      <w:r>
        <w:t xml:space="preserve">USD maaş USD olarak korunmalı; local maaş local_currency ile çalışmalı.</w:t>
      </w:r>
    </w:p>
    <w:p>
      <w:pPr>
        <w:pStyle w:val="Compact"/>
        <w:numPr>
          <w:ilvl w:val="0"/>
          <w:numId w:val="1035"/>
        </w:numPr>
      </w:pPr>
      <w:r>
        <w:t xml:space="preserve">Puantaj dakika bazlı hesaplanmalı; 100’lük saat hatası olmamalı.</w:t>
      </w:r>
    </w:p>
    <w:p>
      <w:pPr>
        <w:pStyle w:val="Compact"/>
        <w:numPr>
          <w:ilvl w:val="0"/>
          <w:numId w:val="1036"/>
        </w:numPr>
      </w:pPr>
      <w:r>
        <w:t xml:space="preserve">HR modal flows merkezi Modal/Confirm sistemiyle çalışmalı.</w:t>
      </w:r>
    </w:p>
    <w:bookmarkEnd w:id="30"/>
    <w:bookmarkStart w:id="31" w:name="riskler-2"/>
    <w:p>
      <w:pPr>
        <w:pStyle w:val="Heading3"/>
      </w:pPr>
      <w:r>
        <w:t xml:space="preserve">Riskler</w:t>
      </w:r>
    </w:p>
    <w:p>
      <w:pPr>
        <w:pStyle w:val="Compact"/>
        <w:numPr>
          <w:ilvl w:val="0"/>
          <w:numId w:val="1037"/>
        </w:numPr>
      </w:pPr>
      <w:r>
        <w:t xml:space="preserve">Maaş görünürlüğü kaçarsa ciddi güvenlik sorunu oluşur.</w:t>
      </w:r>
    </w:p>
    <w:p>
      <w:pPr>
        <w:pStyle w:val="Compact"/>
        <w:numPr>
          <w:ilvl w:val="0"/>
          <w:numId w:val="1037"/>
        </w:numPr>
      </w:pPr>
      <w:r>
        <w:t xml:space="preserve">Payroll formülü frontend/backend iki yere kopyalanırsa tutarsızlık çıkar.</w:t>
      </w:r>
    </w:p>
    <w:p>
      <w:pPr>
        <w:pStyle w:val="Compact"/>
        <w:numPr>
          <w:ilvl w:val="0"/>
          <w:numId w:val="1037"/>
        </w:numPr>
      </w:pPr>
      <w:r>
        <w:t xml:space="preserve">HR ile user/permission ilişkisi zayıf kurulursa satınalma onay sistemi de zayıflar.</w:t>
      </w:r>
    </w:p>
    <w:bookmarkEnd w:id="31"/>
    <w:bookmarkStart w:id="32" w:name="test-doğrulama-senaryoları-2"/>
    <w:p>
      <w:pPr>
        <w:pStyle w:val="Heading3"/>
      </w:pPr>
      <w:r>
        <w:t xml:space="preserve">Test / Doğrulama Senaryoları</w:t>
      </w:r>
    </w:p>
    <w:p>
      <w:pPr>
        <w:pStyle w:val="Compact"/>
        <w:numPr>
          <w:ilvl w:val="0"/>
          <w:numId w:val="1038"/>
        </w:numPr>
      </w:pPr>
      <w:r>
        <w:t xml:space="preserve">USD maaşlı, local maaşlı, official/unofficial maaşlı çalışan testleri.</w:t>
      </w:r>
    </w:p>
    <w:p>
      <w:pPr>
        <w:pStyle w:val="Compact"/>
        <w:numPr>
          <w:ilvl w:val="0"/>
          <w:numId w:val="1038"/>
        </w:numPr>
      </w:pPr>
      <w:r>
        <w:t xml:space="preserve">Overtime eligible true/false testleri.</w:t>
      </w:r>
    </w:p>
    <w:p>
      <w:pPr>
        <w:pStyle w:val="Compact"/>
        <w:numPr>
          <w:ilvl w:val="0"/>
          <w:numId w:val="1038"/>
        </w:numPr>
      </w:pPr>
      <w:r>
        <w:t xml:space="preserve">Puantaj günlük giriş, aylık liste, ay kilidi ve snapshot testleri.</w:t>
      </w:r>
    </w:p>
    <w:p>
      <w:pPr>
        <w:pStyle w:val="Compact"/>
        <w:numPr>
          <w:ilvl w:val="0"/>
          <w:numId w:val="1038"/>
        </w:numPr>
      </w:pPr>
      <w:r>
        <w:t xml:space="preserve">Maaş permission olmayan kullanıcı ile API ve UI testleri.</w:t>
      </w:r>
    </w:p>
    <w:p>
      <w:pPr>
        <w:pStyle w:val="Compact"/>
        <w:numPr>
          <w:ilvl w:val="0"/>
          <w:numId w:val="1038"/>
        </w:numPr>
      </w:pPr>
      <w:r>
        <w:t xml:space="preserve">Çıkış tarihi girilmiş personelin aktif listeden ayrılması testi.</w:t>
      </w:r>
    </w:p>
    <w:bookmarkEnd w:id="32"/>
    <w:bookmarkStart w:id="33" w:name="v2-referans-noktaları-2"/>
    <w:p>
      <w:pPr>
        <w:pStyle w:val="Heading3"/>
      </w:pPr>
      <w:r>
        <w:t xml:space="preserve">V2 Referans Noktaları</w:t>
      </w:r>
    </w:p>
    <w:p>
      <w:pPr>
        <w:pStyle w:val="Compact"/>
        <w:numPr>
          <w:ilvl w:val="0"/>
          <w:numId w:val="1039"/>
        </w:numPr>
      </w:pPr>
      <w:r>
        <w:t xml:space="preserve">V2 hrService, hr-employee-form, hr-attendance, hr-attendance-monthly, hr-payroll.</w:t>
      </w:r>
    </w:p>
    <w:p>
      <w:pPr>
        <w:pStyle w:val="Compact"/>
        <w:numPr>
          <w:ilvl w:val="0"/>
          <w:numId w:val="1039"/>
        </w:numPr>
      </w:pPr>
      <w:r>
        <w:t xml:space="preserve">V2 compensation history ve payroll snapshot mantığı.</w:t>
      </w:r>
    </w:p>
    <w:p>
      <w:pPr>
        <w:pStyle w:val="Compact"/>
        <w:numPr>
          <w:ilvl w:val="0"/>
          <w:numId w:val="1039"/>
        </w:numPr>
      </w:pPr>
      <w:r>
        <w:t xml:space="preserve">V2 salary permission/redaction eksikleri (detay API sızıntısı).</w:t>
      </w:r>
    </w:p>
    <w:bookmarkEnd w:id="33"/>
    <w:bookmarkStart w:id="34" w:name="Xc5020990de885912dce81d308e550b7957afc1e"/>
    <w:p>
      <w:pPr>
        <w:pStyle w:val="Heading3"/>
      </w:pPr>
      <w:r>
        <w:t xml:space="preserve">Bu Gate Tamamlanmadan Başlanmayacak İşler</w:t>
      </w:r>
    </w:p>
    <w:p>
      <w:pPr>
        <w:pStyle w:val="Compact"/>
        <w:numPr>
          <w:ilvl w:val="0"/>
          <w:numId w:val="1040"/>
        </w:numPr>
      </w:pPr>
      <w:r>
        <w:t xml:space="preserve">Satınalma onaycı/personel bağlantısı HR hazır olmadan kurulmayacak.</w:t>
      </w:r>
    </w:p>
    <w:p>
      <w:pPr>
        <w:pStyle w:val="Compact"/>
        <w:numPr>
          <w:ilvl w:val="0"/>
          <w:numId w:val="1040"/>
        </w:numPr>
      </w:pPr>
      <w:r>
        <w:t xml:space="preserve">Finance employee payment/advance bağlantısı kurulmayacak.</w:t>
      </w:r>
    </w:p>
    <w:p>
      <w:pPr>
        <w:pStyle w:val="Compact"/>
        <w:numPr>
          <w:ilvl w:val="0"/>
          <w:numId w:val="1040"/>
        </w:numPr>
      </w:pPr>
      <w:r>
        <w:t xml:space="preserve">Payroll advanced dispute ekranları core HR sağlamlaşmadan genişletilmeyecek.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gate-3-stock-ready"/>
    <w:p>
      <w:pPr>
        <w:pStyle w:val="Heading2"/>
      </w:pPr>
      <w:r>
        <w:t xml:space="preserve">Gate 3 — Stock Ready</w:t>
      </w:r>
    </w:p>
    <w:bookmarkStart w:id="36" w:name="amaç-3"/>
    <w:p>
      <w:pPr>
        <w:pStyle w:val="Heading3"/>
      </w:pPr>
      <w:r>
        <w:t xml:space="preserve">Amaç</w:t>
      </w:r>
    </w:p>
    <w:p>
      <w:pPr>
        <w:pStyle w:val="FirstParagraph"/>
      </w:pPr>
      <w:r>
        <w:t xml:space="preserve">V2’de çalışan stok mantığını koruyarak, fakat m² legacy maliyet modelini taşımadan,</w:t>
      </w:r>
      <w:r>
        <w:t xml:space="preserve"> </w:t>
      </w:r>
      <w:r>
        <w:rPr>
          <w:b/>
          <w:bCs/>
        </w:rPr>
        <w:t xml:space="preserve">depo bazlı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unit_cost FIFO</w:t>
      </w:r>
      <w:r>
        <w:t xml:space="preserve"> </w:t>
      </w:r>
      <w:r>
        <w:t xml:space="preserve">temelli stok sistemini kurmak.</w:t>
      </w:r>
    </w:p>
    <w:bookmarkEnd w:id="36"/>
    <w:bookmarkStart w:id="37" w:name="kapsam-3"/>
    <w:p>
      <w:pPr>
        <w:pStyle w:val="Heading3"/>
      </w:pPr>
      <w:r>
        <w:t xml:space="preserve">Kapsam</w:t>
      </w:r>
    </w:p>
    <w:p>
      <w:pPr>
        <w:pStyle w:val="Compact"/>
        <w:numPr>
          <w:ilvl w:val="0"/>
          <w:numId w:val="1041"/>
        </w:numPr>
      </w:pPr>
      <w:r>
        <w:t xml:space="preserve">Products, brands,</w:t>
      </w:r>
      <w:r>
        <w:t xml:space="preserve"> </w:t>
      </w:r>
      <w:r>
        <w:rPr>
          <w:b/>
          <w:bCs/>
        </w:rPr>
        <w:t xml:space="preserve">categories</w:t>
      </w:r>
      <w:r>
        <w:t xml:space="preserve">, units</w:t>
      </w:r>
    </w:p>
    <w:p>
      <w:pPr>
        <w:pStyle w:val="Compact"/>
        <w:numPr>
          <w:ilvl w:val="0"/>
          <w:numId w:val="1041"/>
        </w:numPr>
      </w:pPr>
      <w:r>
        <w:t xml:space="preserve">Warehouses ve</w:t>
      </w:r>
      <w:r>
        <w:t xml:space="preserve"> </w:t>
      </w:r>
      <w:r>
        <w:rPr>
          <w:b/>
          <w:bCs/>
        </w:rPr>
        <w:t xml:space="preserve">depo bazlı bakiye</w:t>
      </w:r>
      <w:r>
        <w:t xml:space="preserve"> </w:t>
      </w:r>
      <w:r>
        <w:t xml:space="preserve">altyapısı</w:t>
      </w:r>
    </w:p>
    <w:p>
      <w:pPr>
        <w:pStyle w:val="Compact"/>
        <w:numPr>
          <w:ilvl w:val="0"/>
          <w:numId w:val="1041"/>
        </w:numPr>
      </w:pPr>
      <w:r>
        <w:t xml:space="preserve">Stock in, stock out, stock movements</w:t>
      </w:r>
    </w:p>
    <w:p>
      <w:pPr>
        <w:pStyle w:val="Compact"/>
        <w:numPr>
          <w:ilvl w:val="0"/>
          <w:numId w:val="1041"/>
        </w:numPr>
      </w:pPr>
      <w:r>
        <w:t xml:space="preserve">Product stock balances: product_id + warehouse_id + unit</w:t>
      </w:r>
    </w:p>
    <w:p>
      <w:pPr>
        <w:pStyle w:val="Compact"/>
        <w:numPr>
          <w:ilvl w:val="0"/>
          <w:numId w:val="1041"/>
        </w:numPr>
      </w:pPr>
      <w:r>
        <w:t xml:space="preserve">Unit_cost FIFO</w:t>
      </w:r>
    </w:p>
    <w:p>
      <w:pPr>
        <w:pStyle w:val="Compact"/>
        <w:numPr>
          <w:ilvl w:val="0"/>
          <w:numId w:val="1041"/>
        </w:numPr>
      </w:pPr>
      <w:r>
        <w:t xml:space="preserve">quantity + unit + unit_cost</w:t>
      </w:r>
    </w:p>
    <w:p>
      <w:pPr>
        <w:pStyle w:val="Compact"/>
        <w:numPr>
          <w:ilvl w:val="0"/>
          <w:numId w:val="1041"/>
        </w:numPr>
      </w:pPr>
      <w:r>
        <w:t xml:space="preserve">remaining_quantity + consumed_quantity</w:t>
      </w:r>
    </w:p>
    <w:p>
      <w:pPr>
        <w:pStyle w:val="Compact"/>
        <w:numPr>
          <w:ilvl w:val="0"/>
          <w:numId w:val="1041"/>
        </w:numPr>
      </w:pPr>
      <w:r>
        <w:t xml:space="preserve">M2 yalnızca ürün ana birimi M2 ise ana maliyet birimi</w:t>
      </w:r>
    </w:p>
    <w:p>
      <w:pPr>
        <w:pStyle w:val="Compact"/>
        <w:numPr>
          <w:ilvl w:val="0"/>
          <w:numId w:val="1041"/>
        </w:numPr>
      </w:pPr>
      <w:r>
        <w:t xml:space="preserve">Purchase receipt integration hazırlığı (StockPort)</w:t>
      </w:r>
    </w:p>
    <w:p>
      <w:pPr>
        <w:pStyle w:val="Compact"/>
        <w:numPr>
          <w:ilvl w:val="0"/>
          <w:numId w:val="1041"/>
        </w:numPr>
      </w:pPr>
      <w:r>
        <w:t xml:space="preserve">Project link hazırlığı</w:t>
      </w:r>
    </w:p>
    <w:p>
      <w:pPr>
        <w:pStyle w:val="Compact"/>
        <w:numPr>
          <w:ilvl w:val="0"/>
          <w:numId w:val="1041"/>
        </w:numPr>
      </w:pPr>
      <w:r>
        <w:t xml:space="preserve">local/base currency entegrasyonu</w:t>
      </w:r>
    </w:p>
    <w:p>
      <w:pPr>
        <w:pStyle w:val="Compact"/>
        <w:numPr>
          <w:ilvl w:val="0"/>
          <w:numId w:val="1041"/>
        </w:numPr>
      </w:pPr>
      <w:r>
        <w:t xml:space="preserve">Dashboard stock valuation</w:t>
      </w:r>
    </w:p>
    <w:p>
      <w:pPr>
        <w:pStyle w:val="Compact"/>
        <w:numPr>
          <w:ilvl w:val="0"/>
          <w:numId w:val="1041"/>
        </w:numPr>
      </w:pPr>
      <w:r>
        <w:t xml:space="preserve">Void/replace modal flows</w:t>
      </w:r>
    </w:p>
    <w:bookmarkEnd w:id="37"/>
    <w:bookmarkStart w:id="38" w:name="kabul-kriterleri-3"/>
    <w:p>
      <w:pPr>
        <w:pStyle w:val="Heading3"/>
      </w:pPr>
      <w:r>
        <w:t xml:space="preserve">Kabul Kriterleri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cost_uzs_per_m2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qty_m2_remaining</w:t>
      </w:r>
      <w:r>
        <w:t xml:space="preserve"> </w:t>
      </w:r>
      <w:r>
        <w:t xml:space="preserve">ana model olarak V3’te bulunmamalı.</w:t>
      </w:r>
    </w:p>
    <w:p>
      <w:pPr>
        <w:pStyle w:val="Compact"/>
        <w:numPr>
          <w:ilvl w:val="0"/>
          <w:numId w:val="1043"/>
        </w:numPr>
      </w:pPr>
      <w:r>
        <w:t xml:space="preserve">ADET ürün ADET üzerinden, PLK ürün PLK üzerinden, M2 ürün M2 üzerinden FIFO tüketmeli.</w:t>
      </w:r>
    </w:p>
    <w:p>
      <w:pPr>
        <w:pStyle w:val="Compact"/>
        <w:numPr>
          <w:ilvl w:val="0"/>
          <w:numId w:val="1044"/>
        </w:numPr>
      </w:pPr>
      <w:r>
        <w:t xml:space="preserve">Stok girişinde unit_cost = line_total / primary_quantity olmalı.</w:t>
      </w:r>
    </w:p>
    <w:p>
      <w:pPr>
        <w:pStyle w:val="Compact"/>
        <w:numPr>
          <w:ilvl w:val="0"/>
          <w:numId w:val="1045"/>
        </w:numPr>
      </w:pPr>
      <w:r>
        <w:t xml:space="preserve">Stok çıkışında COGS = consumed_quantity × unit_cost olmalı.</w:t>
      </w:r>
    </w:p>
    <w:p>
      <w:pPr>
        <w:pStyle w:val="Compact"/>
        <w:numPr>
          <w:ilvl w:val="0"/>
          <w:numId w:val="1046"/>
        </w:numPr>
      </w:pPr>
      <w:r>
        <w:t xml:space="preserve">Depo seçimi stok giriş/çıkışta zorunlu olmalı.</w:t>
      </w:r>
    </w:p>
    <w:p>
      <w:pPr>
        <w:pStyle w:val="Compact"/>
        <w:numPr>
          <w:ilvl w:val="0"/>
          <w:numId w:val="1047"/>
        </w:numPr>
      </w:pPr>
      <w:r>
        <w:t xml:space="preserve">Negatif stok engellenmeli.</w:t>
      </w:r>
    </w:p>
    <w:p>
      <w:pPr>
        <w:pStyle w:val="Compact"/>
        <w:numPr>
          <w:ilvl w:val="0"/>
          <w:numId w:val="1048"/>
        </w:numPr>
      </w:pPr>
      <w:r>
        <w:t xml:space="preserve">Void/replace işlemleri FIFO restore mantığıyla çalışmalı.</w:t>
      </w:r>
    </w:p>
    <w:p>
      <w:pPr>
        <w:pStyle w:val="Compact"/>
        <w:numPr>
          <w:ilvl w:val="0"/>
          <w:numId w:val="1049"/>
        </w:numPr>
      </w:pPr>
      <w:r>
        <w:t xml:space="preserve">Dashboard sessiz list-price fallback yapmamalı; FIFO değeri yoksa uyarı verebilmeli.</w:t>
      </w:r>
    </w:p>
    <w:bookmarkEnd w:id="38"/>
    <w:bookmarkStart w:id="39" w:name="riskler-3"/>
    <w:p>
      <w:pPr>
        <w:pStyle w:val="Heading3"/>
      </w:pPr>
      <w:r>
        <w:t xml:space="preserve">Riskler</w:t>
      </w:r>
    </w:p>
    <w:p>
      <w:pPr>
        <w:pStyle w:val="Compact"/>
        <w:numPr>
          <w:ilvl w:val="0"/>
          <w:numId w:val="1050"/>
        </w:numPr>
      </w:pPr>
      <w:r>
        <w:t xml:space="preserve">Eski m² mantığı taşınırsa finans ve proje maliyeti yanlış olur.</w:t>
      </w:r>
    </w:p>
    <w:p>
      <w:pPr>
        <w:pStyle w:val="Compact"/>
        <w:numPr>
          <w:ilvl w:val="0"/>
          <w:numId w:val="1050"/>
        </w:numPr>
      </w:pPr>
      <w:r>
        <w:t xml:space="preserve">Depo bazlı altyapı ertelenirse sonra büyük migration gerekir.</w:t>
      </w:r>
    </w:p>
    <w:p>
      <w:pPr>
        <w:pStyle w:val="Compact"/>
        <w:numPr>
          <w:ilvl w:val="0"/>
          <w:numId w:val="1050"/>
        </w:numPr>
      </w:pPr>
      <w:r>
        <w:t xml:space="preserve">Void/replace akışları zayıf olursa stok ve FIFO tutarsızlaşır.</w:t>
      </w:r>
    </w:p>
    <w:bookmarkEnd w:id="39"/>
    <w:bookmarkStart w:id="40" w:name="test-doğrulama-senaryoları-3"/>
    <w:p>
      <w:pPr>
        <w:pStyle w:val="Heading3"/>
      </w:pPr>
      <w:r>
        <w:t xml:space="preserve">Test / Doğrulama Senaryoları</w:t>
      </w:r>
    </w:p>
    <w:p>
      <w:pPr>
        <w:pStyle w:val="Compact"/>
        <w:numPr>
          <w:ilvl w:val="0"/>
          <w:numId w:val="1051"/>
        </w:numPr>
      </w:pPr>
      <w:r>
        <w:t xml:space="preserve">ADET ürün: 100 ADET × 50 local; 20 ADET çıkış COGS = 1000 local.</w:t>
      </w:r>
    </w:p>
    <w:p>
      <w:pPr>
        <w:pStyle w:val="Compact"/>
        <w:numPr>
          <w:ilvl w:val="0"/>
          <w:numId w:val="1051"/>
        </w:numPr>
      </w:pPr>
      <w:r>
        <w:t xml:space="preserve">PLK ürün: 10 PLK × 30 USD; kısmi çıkışta FIFO doğru çalışmalı.</w:t>
      </w:r>
    </w:p>
    <w:p>
      <w:pPr>
        <w:pStyle w:val="Compact"/>
        <w:numPr>
          <w:ilvl w:val="0"/>
          <w:numId w:val="1051"/>
        </w:numPr>
      </w:pPr>
      <w:r>
        <w:t xml:space="preserve">M2 ürün: 25 M2 × 5 USD; M2 ana birim olarak doğru çalışmalı.</w:t>
      </w:r>
    </w:p>
    <w:p>
      <w:pPr>
        <w:pStyle w:val="Compact"/>
        <w:numPr>
          <w:ilvl w:val="0"/>
          <w:numId w:val="1051"/>
        </w:numPr>
      </w:pPr>
      <w:r>
        <w:t xml:space="preserve">Farklı depolarda aynı ürün farklı bakiye göstermeli.</w:t>
      </w:r>
    </w:p>
    <w:p>
      <w:pPr>
        <w:pStyle w:val="Compact"/>
        <w:numPr>
          <w:ilvl w:val="0"/>
          <w:numId w:val="1051"/>
        </w:numPr>
      </w:pPr>
      <w:r>
        <w:t xml:space="preserve">Stok giriş iptali, çıkış iptali ve replace senaryoları.</w:t>
      </w:r>
    </w:p>
    <w:bookmarkEnd w:id="40"/>
    <w:bookmarkStart w:id="41" w:name="v2-referans-noktaları-3"/>
    <w:p>
      <w:pPr>
        <w:pStyle w:val="Heading3"/>
      </w:pPr>
      <w:r>
        <w:t xml:space="preserve">V2 Referans Noktaları</w:t>
      </w:r>
    </w:p>
    <w:p>
      <w:pPr>
        <w:pStyle w:val="Compact"/>
        <w:numPr>
          <w:ilvl w:val="0"/>
          <w:numId w:val="1052"/>
        </w:numPr>
      </w:pPr>
      <w:r>
        <w:t xml:space="preserve">V2 stockMovementService ve stockCostLayerService iş akışları.</w:t>
      </w:r>
    </w:p>
    <w:p>
      <w:pPr>
        <w:pStyle w:val="Compact"/>
        <w:numPr>
          <w:ilvl w:val="0"/>
          <w:numId w:val="1052"/>
        </w:numPr>
      </w:pPr>
      <w:r>
        <w:t xml:space="preserve">V2 negatif stok engeli, proje öncelikli tüketim, void/replace kararları.</w:t>
      </w:r>
    </w:p>
    <w:p>
      <w:pPr>
        <w:pStyle w:val="Compact"/>
        <w:numPr>
          <w:ilvl w:val="0"/>
          <w:numId w:val="1052"/>
        </w:numPr>
      </w:pPr>
      <w:r>
        <w:t xml:space="preserve">V2 m² FIFO teknik borç raporu.</w:t>
      </w:r>
    </w:p>
    <w:bookmarkEnd w:id="41"/>
    <w:bookmarkStart w:id="42" w:name="Xab379157a17915e1d7e7a99e2d80531a126271b"/>
    <w:p>
      <w:pPr>
        <w:pStyle w:val="Heading3"/>
      </w:pPr>
      <w:r>
        <w:t xml:space="preserve">Bu Gate Tamamlanmadan Başlanmayacak İşler</w:t>
      </w:r>
    </w:p>
    <w:p>
      <w:pPr>
        <w:pStyle w:val="Compact"/>
        <w:numPr>
          <w:ilvl w:val="0"/>
          <w:numId w:val="1053"/>
        </w:numPr>
      </w:pPr>
      <w:r>
        <w:t xml:space="preserve">Purchasing goods receipt stok entegrasyonu başlamayacak.</w:t>
      </w:r>
    </w:p>
    <w:p>
      <w:pPr>
        <w:pStyle w:val="Compact"/>
        <w:numPr>
          <w:ilvl w:val="0"/>
          <w:numId w:val="1053"/>
        </w:numPr>
      </w:pPr>
      <w:r>
        <w:t xml:space="preserve">Finance stok değeri/COGS bağlantısı kurulmayacak.</w:t>
      </w:r>
    </w:p>
    <w:p>
      <w:pPr>
        <w:pStyle w:val="Compact"/>
        <w:numPr>
          <w:ilvl w:val="0"/>
          <w:numId w:val="1053"/>
        </w:numPr>
      </w:pPr>
      <w:r>
        <w:t xml:space="preserve">Proje maliyetleri stock unit_cost oturmadan genişletilmeyecek.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gate-4-purchasing-ready"/>
    <w:p>
      <w:pPr>
        <w:pStyle w:val="Heading2"/>
      </w:pPr>
      <w:r>
        <w:t xml:space="preserve">Gate 4 — Purchasing Ready</w:t>
      </w:r>
    </w:p>
    <w:bookmarkStart w:id="44" w:name="amaç-4"/>
    <w:p>
      <w:pPr>
        <w:pStyle w:val="Heading3"/>
      </w:pPr>
      <w:r>
        <w:t xml:space="preserve">Amaç</w:t>
      </w:r>
    </w:p>
    <w:p>
      <w:pPr>
        <w:pStyle w:val="FirstParagraph"/>
      </w:pPr>
      <w:r>
        <w:t xml:space="preserve">V2 satınalma workflow’unu kaybetmeden, merkezi approval/permission/modal sistemiyle ve stok/finance bağlantılarına hazır şekilde V3’e taşımak.</w:t>
      </w:r>
    </w:p>
    <w:bookmarkEnd w:id="44"/>
    <w:bookmarkStart w:id="45" w:name="kapsam-4"/>
    <w:p>
      <w:pPr>
        <w:pStyle w:val="Heading3"/>
      </w:pPr>
      <w:r>
        <w:t xml:space="preserve">Kapsam</w:t>
      </w:r>
    </w:p>
    <w:p>
      <w:pPr>
        <w:pStyle w:val="Compact"/>
        <w:numPr>
          <w:ilvl w:val="0"/>
          <w:numId w:val="1054"/>
        </w:numPr>
      </w:pPr>
      <w:r>
        <w:t xml:space="preserve">Purchase request</w:t>
      </w:r>
    </w:p>
    <w:p>
      <w:pPr>
        <w:pStyle w:val="Compact"/>
        <w:numPr>
          <w:ilvl w:val="0"/>
          <w:numId w:val="1054"/>
        </w:numPr>
      </w:pPr>
      <w:r>
        <w:t xml:space="preserve">Approval workflow</w:t>
      </w:r>
    </w:p>
    <w:p>
      <w:pPr>
        <w:pStyle w:val="Compact"/>
        <w:numPr>
          <w:ilvl w:val="0"/>
          <w:numId w:val="1054"/>
        </w:numPr>
      </w:pPr>
      <w:r>
        <w:t xml:space="preserve">Purchase order</w:t>
      </w:r>
    </w:p>
    <w:p>
      <w:pPr>
        <w:pStyle w:val="Compact"/>
        <w:numPr>
          <w:ilvl w:val="0"/>
          <w:numId w:val="1054"/>
        </w:numPr>
      </w:pPr>
      <w:r>
        <w:t xml:space="preserve">Pricing</w:t>
      </w:r>
    </w:p>
    <w:p>
      <w:pPr>
        <w:pStyle w:val="Compact"/>
        <w:numPr>
          <w:ilvl w:val="0"/>
          <w:numId w:val="1054"/>
        </w:numPr>
      </w:pPr>
      <w:r>
        <w:t xml:space="preserve">Supplier / party bağlantısı</w:t>
      </w:r>
    </w:p>
    <w:p>
      <w:pPr>
        <w:pStyle w:val="Compact"/>
        <w:numPr>
          <w:ilvl w:val="0"/>
          <w:numId w:val="1054"/>
        </w:numPr>
      </w:pPr>
      <w:r>
        <w:t xml:space="preserve">FX rate</w:t>
      </w:r>
    </w:p>
    <w:p>
      <w:pPr>
        <w:pStyle w:val="Compact"/>
        <w:numPr>
          <w:ilvl w:val="0"/>
          <w:numId w:val="1054"/>
        </w:numPr>
      </w:pPr>
      <w:r>
        <w:t xml:space="preserve">Goods receipt</w:t>
      </w:r>
    </w:p>
    <w:p>
      <w:pPr>
        <w:pStyle w:val="Compact"/>
        <w:numPr>
          <w:ilvl w:val="0"/>
          <w:numId w:val="1054"/>
        </w:numPr>
      </w:pPr>
      <w:r>
        <w:t xml:space="preserve">Partial delivery</w:t>
      </w:r>
    </w:p>
    <w:p>
      <w:pPr>
        <w:pStyle w:val="Compact"/>
        <w:numPr>
          <w:ilvl w:val="0"/>
          <w:numId w:val="1054"/>
        </w:numPr>
      </w:pPr>
      <w:r>
        <w:t xml:space="preserve">Rejected/damaged quantity</w:t>
      </w:r>
    </w:p>
    <w:p>
      <w:pPr>
        <w:pStyle w:val="Compact"/>
        <w:numPr>
          <w:ilvl w:val="0"/>
          <w:numId w:val="1054"/>
        </w:numPr>
      </w:pPr>
      <w:r>
        <w:t xml:space="preserve">Warehouse acceptance</w:t>
      </w:r>
    </w:p>
    <w:p>
      <w:pPr>
        <w:pStyle w:val="Compact"/>
        <w:numPr>
          <w:ilvl w:val="0"/>
          <w:numId w:val="1054"/>
        </w:numPr>
      </w:pPr>
      <w:r>
        <w:t xml:space="preserve">Goods receipt → stock movement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Price save does not complete order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Goods receipt does not require buyer_state completed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pending_cost / unpriced stock flow</w:t>
      </w:r>
    </w:p>
    <w:p>
      <w:pPr>
        <w:pStyle w:val="Compact"/>
        <w:numPr>
          <w:ilvl w:val="0"/>
          <w:numId w:val="1054"/>
        </w:numPr>
      </w:pPr>
      <w:r>
        <w:t xml:space="preserve">Centralized approval/permission</w:t>
      </w:r>
    </w:p>
    <w:p>
      <w:pPr>
        <w:pStyle w:val="Compact"/>
        <w:numPr>
          <w:ilvl w:val="0"/>
          <w:numId w:val="1054"/>
        </w:numPr>
      </w:pPr>
      <w:r>
        <w:t xml:space="preserve">Finance invoice/payable preparation</w:t>
      </w:r>
    </w:p>
    <w:p>
      <w:pPr>
        <w:pStyle w:val="Compact"/>
        <w:numPr>
          <w:ilvl w:val="0"/>
          <w:numId w:val="1054"/>
        </w:numPr>
      </w:pPr>
      <w:r>
        <w:t xml:space="preserve">Purchasing modal flow inventory</w:t>
      </w:r>
    </w:p>
    <w:bookmarkEnd w:id="45"/>
    <w:bookmarkStart w:id="46" w:name="kabul-kriterleri-4"/>
    <w:p>
      <w:pPr>
        <w:pStyle w:val="Heading3"/>
      </w:pPr>
      <w:r>
        <w:t xml:space="preserve">Kabul Kriterleri</w:t>
      </w:r>
    </w:p>
    <w:p>
      <w:pPr>
        <w:pStyle w:val="Compact"/>
        <w:numPr>
          <w:ilvl w:val="0"/>
          <w:numId w:val="1055"/>
        </w:numPr>
      </w:pPr>
      <w:r>
        <w:t xml:space="preserve">Fiyat kaydetme siparişi tamamlamamalı.</w:t>
      </w:r>
    </w:p>
    <w:p>
      <w:pPr>
        <w:pStyle w:val="Compact"/>
        <w:numPr>
          <w:ilvl w:val="0"/>
          <w:numId w:val="1056"/>
        </w:numPr>
      </w:pPr>
      <w:r>
        <w:t xml:space="preserve">Mal kabul fiziksel stok hareketidir; fiyat/fatura finansal kesinleşmedir.</w:t>
      </w:r>
    </w:p>
    <w:p>
      <w:pPr>
        <w:pStyle w:val="Compact"/>
        <w:numPr>
          <w:ilvl w:val="0"/>
          <w:numId w:val="1057"/>
        </w:numPr>
      </w:pPr>
      <w:r>
        <w:t xml:space="preserve">Mal kabul için PO aktif/onaylı olmalı, satır aktif olmalı, ürün/birim net olmalı, depo seçilmeli, kabul miktarı kalan miktarı aşmamalı.</w:t>
      </w:r>
    </w:p>
    <w:p>
      <w:pPr>
        <w:pStyle w:val="Compact"/>
        <w:numPr>
          <w:ilvl w:val="0"/>
          <w:numId w:val="1058"/>
        </w:numPr>
      </w:pPr>
      <w:r>
        <w:t xml:space="preserve">Fiyat eksikse stok hareketi</w:t>
      </w:r>
      <w:r>
        <w:t xml:space="preserve"> </w:t>
      </w:r>
      <w:r>
        <w:rPr>
          <w:b/>
          <w:bCs/>
        </w:rPr>
        <w:t xml:space="preserve">pending_cost/unpriced</w:t>
      </w:r>
      <w:r>
        <w:t xml:space="preserve"> </w:t>
      </w:r>
      <w:r>
        <w:t xml:space="preserve">olarak işaretlenebilmeli.</w:t>
      </w:r>
    </w:p>
    <w:p>
      <w:pPr>
        <w:pStyle w:val="Compact"/>
        <w:numPr>
          <w:ilvl w:val="0"/>
          <w:numId w:val="1059"/>
        </w:numPr>
      </w:pPr>
      <w:r>
        <w:t xml:space="preserve">Kısmi teslimatta qty_received doğru birikmeli.</w:t>
      </w:r>
    </w:p>
    <w:p>
      <w:pPr>
        <w:pStyle w:val="Compact"/>
        <w:numPr>
          <w:ilvl w:val="0"/>
          <w:numId w:val="1060"/>
        </w:numPr>
      </w:pPr>
      <w:r>
        <w:t xml:space="preserve">Rejected/damaged quantity stok artırmamalı.</w:t>
      </w:r>
    </w:p>
    <w:p>
      <w:pPr>
        <w:pStyle w:val="Compact"/>
        <w:numPr>
          <w:ilvl w:val="0"/>
          <w:numId w:val="1061"/>
        </w:numPr>
      </w:pPr>
      <w:r>
        <w:t xml:space="preserve">Placeholder tedarikçi ile order complete engellenmeli.</w:t>
      </w:r>
    </w:p>
    <w:p>
      <w:pPr>
        <w:pStyle w:val="Compact"/>
        <w:numPr>
          <w:ilvl w:val="0"/>
          <w:numId w:val="1062"/>
        </w:numPr>
      </w:pPr>
      <w:r>
        <w:t xml:space="preserve">Approval sistemi tek merkezi permission modeliyle çalışmalı.</w:t>
      </w:r>
    </w:p>
    <w:bookmarkEnd w:id="46"/>
    <w:bookmarkStart w:id="47" w:name="riskler-4"/>
    <w:p>
      <w:pPr>
        <w:pStyle w:val="Heading3"/>
      </w:pPr>
      <w:r>
        <w:t xml:space="preserve">Riskler</w:t>
      </w:r>
    </w:p>
    <w:p>
      <w:pPr>
        <w:pStyle w:val="Compact"/>
        <w:numPr>
          <w:ilvl w:val="0"/>
          <w:numId w:val="1063"/>
        </w:numPr>
      </w:pPr>
      <w:r>
        <w:t xml:space="preserve">Mal kabul fiyat tamamlanmadan engellenirse gerçek operasyon kilitlenir (</w:t>
      </w:r>
      <w:r>
        <w:rPr>
          <w:b/>
          <w:bCs/>
        </w:rPr>
        <w:t xml:space="preserve">V3: engellenmez</w:t>
      </w:r>
      <w:r>
        <w:t xml:space="preserve">).</w:t>
      </w:r>
    </w:p>
    <w:p>
      <w:pPr>
        <w:pStyle w:val="Compact"/>
        <w:numPr>
          <w:ilvl w:val="0"/>
          <w:numId w:val="1063"/>
        </w:numPr>
      </w:pPr>
      <w:r>
        <w:t xml:space="preserve">Fiyat kaydetme ile complete karışırsa satınalma listeleri bozulur.</w:t>
      </w:r>
    </w:p>
    <w:p>
      <w:pPr>
        <w:pStyle w:val="Compact"/>
        <w:numPr>
          <w:ilvl w:val="0"/>
          <w:numId w:val="1063"/>
        </w:numPr>
      </w:pPr>
      <w:r>
        <w:t xml:space="preserve">Goods receipt stok hareketi ile tutarsız çalışırsa stok/FIFO bozulur.</w:t>
      </w:r>
    </w:p>
    <w:p>
      <w:pPr>
        <w:pStyle w:val="Compact"/>
        <w:numPr>
          <w:ilvl w:val="0"/>
          <w:numId w:val="1063"/>
        </w:numPr>
      </w:pPr>
      <w:r>
        <w:t xml:space="preserve">Pending cost akışı yoksa finansal maliyetler eksik kalır.</w:t>
      </w:r>
    </w:p>
    <w:bookmarkEnd w:id="47"/>
    <w:bookmarkStart w:id="48" w:name="test-doğrulama-senaryoları-4"/>
    <w:p>
      <w:pPr>
        <w:pStyle w:val="Heading3"/>
      </w:pPr>
      <w:r>
        <w:t xml:space="preserve">Test / Doğrulama Senaryoları</w:t>
      </w:r>
    </w:p>
    <w:p>
      <w:pPr>
        <w:pStyle w:val="Compact"/>
        <w:numPr>
          <w:ilvl w:val="0"/>
          <w:numId w:val="1064"/>
        </w:numPr>
      </w:pPr>
      <w:r>
        <w:t xml:space="preserve">Talep oluştur → onay → otomatik PO.</w:t>
      </w:r>
    </w:p>
    <w:p>
      <w:pPr>
        <w:pStyle w:val="Compact"/>
        <w:numPr>
          <w:ilvl w:val="0"/>
          <w:numId w:val="1064"/>
        </w:numPr>
      </w:pPr>
      <w:r>
        <w:t xml:space="preserve">Fiyat kaydet → order complete olmamalı.</w:t>
      </w:r>
    </w:p>
    <w:p>
      <w:pPr>
        <w:pStyle w:val="Compact"/>
        <w:numPr>
          <w:ilvl w:val="0"/>
          <w:numId w:val="1064"/>
        </w:numPr>
      </w:pPr>
      <w:r>
        <w:t xml:space="preserve">Fiyat eksikken mal kabul → stok artar, pending_cost olur.</w:t>
      </w:r>
    </w:p>
    <w:p>
      <w:pPr>
        <w:pStyle w:val="Compact"/>
        <w:numPr>
          <w:ilvl w:val="0"/>
          <w:numId w:val="1064"/>
        </w:numPr>
      </w:pPr>
      <w:r>
        <w:t xml:space="preserve">Kısmi teslim → kalan miktar doğru kalır.</w:t>
      </w:r>
    </w:p>
    <w:p>
      <w:pPr>
        <w:pStyle w:val="Compact"/>
        <w:numPr>
          <w:ilvl w:val="0"/>
          <w:numId w:val="1064"/>
        </w:numPr>
      </w:pPr>
      <w:r>
        <w:t xml:space="preserve">Hasarlı/red miktar → stok artmaz.</w:t>
      </w:r>
    </w:p>
    <w:p>
      <w:pPr>
        <w:pStyle w:val="Compact"/>
        <w:numPr>
          <w:ilvl w:val="0"/>
          <w:numId w:val="1064"/>
        </w:numPr>
      </w:pPr>
      <w:r>
        <w:t xml:space="preserve">Mal kabul sonrası stock movement ve FIFO layer oluşur.</w:t>
      </w:r>
    </w:p>
    <w:p>
      <w:pPr>
        <w:pStyle w:val="Compact"/>
        <w:numPr>
          <w:ilvl w:val="0"/>
          <w:numId w:val="1064"/>
        </w:numPr>
      </w:pPr>
      <w:r>
        <w:t xml:space="preserve">Complete için tüm aktif satırlarda gerçek tedarikçi + fiyat + FX zorunlu.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Mal kabul, buyer_state=completed olmadan başarılı olmalı.</w:t>
      </w:r>
    </w:p>
    <w:bookmarkEnd w:id="48"/>
    <w:bookmarkStart w:id="49" w:name="v2-referans-noktaları-4"/>
    <w:p>
      <w:pPr>
        <w:pStyle w:val="Heading3"/>
      </w:pPr>
      <w:r>
        <w:t xml:space="preserve">V2 Referans Noktaları</w:t>
      </w:r>
    </w:p>
    <w:p>
      <w:pPr>
        <w:pStyle w:val="Compact"/>
        <w:numPr>
          <w:ilvl w:val="0"/>
          <w:numId w:val="1065"/>
        </w:numPr>
      </w:pPr>
      <w:r>
        <w:t xml:space="preserve">V2 purchasingService, purchaseWorkflow, goods-receipt ekranları.</w:t>
      </w:r>
    </w:p>
    <w:p>
      <w:pPr>
        <w:pStyle w:val="Compact"/>
        <w:numPr>
          <w:ilvl w:val="0"/>
          <w:numId w:val="1065"/>
        </w:numPr>
      </w:pPr>
      <w:r>
        <w:t xml:space="preserve">V2 fiyat kaydetme / sipariş tamamlama ayrımı.</w:t>
      </w:r>
    </w:p>
    <w:p>
      <w:pPr>
        <w:pStyle w:val="Compact"/>
        <w:numPr>
          <w:ilvl w:val="0"/>
          <w:numId w:val="1065"/>
        </w:numPr>
      </w:pPr>
      <w:r>
        <w:t xml:space="preserve">V2 mal kabul ve kısmi teslimat akışları.</w:t>
      </w:r>
    </w:p>
    <w:bookmarkEnd w:id="49"/>
    <w:bookmarkStart w:id="50" w:name="X6cfa7a48742aa91b25229f5c1045830e15d16da"/>
    <w:p>
      <w:pPr>
        <w:pStyle w:val="Heading3"/>
      </w:pPr>
      <w:r>
        <w:t xml:space="preserve">Bu Gate Tamamlanmadan Başlanmayacak İşler</w:t>
      </w:r>
    </w:p>
    <w:p>
      <w:pPr>
        <w:pStyle w:val="Compact"/>
        <w:numPr>
          <w:ilvl w:val="0"/>
          <w:numId w:val="1066"/>
        </w:numPr>
      </w:pPr>
      <w:r>
        <w:t xml:space="preserve">Finance purchase invoice / payable modülü başlamayacak.</w:t>
      </w:r>
    </w:p>
    <w:p>
      <w:pPr>
        <w:pStyle w:val="Compact"/>
        <w:numPr>
          <w:ilvl w:val="0"/>
          <w:numId w:val="1066"/>
        </w:numPr>
      </w:pPr>
      <w:r>
        <w:t xml:space="preserve">Project purchasing cost reporting genişletilmeyecek.</w:t>
      </w:r>
    </w:p>
    <w:p>
      <w:pPr>
        <w:pStyle w:val="Compact"/>
        <w:numPr>
          <w:ilvl w:val="0"/>
          <w:numId w:val="1066"/>
        </w:numPr>
      </w:pPr>
      <w:r>
        <w:t xml:space="preserve">Advanced supplier performance raporları yapılmayacak.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gate-5-finance-tracking-ready"/>
    <w:p>
      <w:pPr>
        <w:pStyle w:val="Heading2"/>
      </w:pPr>
      <w:r>
        <w:t xml:space="preserve">Gate 5 — Finance Tracking Ready</w:t>
      </w:r>
    </w:p>
    <w:bookmarkStart w:id="52" w:name="amaç-5"/>
    <w:p>
      <w:pPr>
        <w:pStyle w:val="Heading3"/>
      </w:pPr>
      <w:r>
        <w:t xml:space="preserve">Amaç</w:t>
      </w:r>
    </w:p>
    <w:p>
      <w:pPr>
        <w:pStyle w:val="FirstParagraph"/>
      </w:pPr>
      <w:r>
        <w:t xml:space="preserve">Resmi muhasebe olmayan, ERP içi operasyonel finansal takip modülünü stok, satınalma ve HR bağlantılarına hazır şekilde kurmak.</w:t>
      </w:r>
    </w:p>
    <w:bookmarkEnd w:id="52"/>
    <w:bookmarkStart w:id="53" w:name="kapsam-5"/>
    <w:p>
      <w:pPr>
        <w:pStyle w:val="Heading3"/>
      </w:pPr>
      <w:r>
        <w:t xml:space="preserve">Kapsam</w:t>
      </w:r>
    </w:p>
    <w:p>
      <w:pPr>
        <w:pStyle w:val="Compact"/>
        <w:numPr>
          <w:ilvl w:val="0"/>
          <w:numId w:val="1067"/>
        </w:numPr>
      </w:pPr>
      <w:r>
        <w:t xml:space="preserve">Parties / cari hesaplar</w:t>
      </w:r>
    </w:p>
    <w:p>
      <w:pPr>
        <w:pStyle w:val="Compact"/>
        <w:numPr>
          <w:ilvl w:val="0"/>
          <w:numId w:val="1067"/>
        </w:numPr>
      </w:pPr>
      <w:r>
        <w:t xml:space="preserve">Cash/bank accounts</w:t>
      </w:r>
    </w:p>
    <w:p>
      <w:pPr>
        <w:pStyle w:val="Compact"/>
        <w:numPr>
          <w:ilvl w:val="0"/>
          <w:numId w:val="1067"/>
        </w:numPr>
      </w:pPr>
      <w:r>
        <w:t xml:space="preserve">Purchase invoices</w:t>
      </w:r>
    </w:p>
    <w:p>
      <w:pPr>
        <w:pStyle w:val="Compact"/>
        <w:numPr>
          <w:ilvl w:val="0"/>
          <w:numId w:val="1067"/>
        </w:numPr>
      </w:pPr>
      <w:r>
        <w:t xml:space="preserve">Payments</w:t>
      </w:r>
    </w:p>
    <w:p>
      <w:pPr>
        <w:pStyle w:val="Compact"/>
        <w:numPr>
          <w:ilvl w:val="0"/>
          <w:numId w:val="1067"/>
        </w:numPr>
      </w:pPr>
      <w:r>
        <w:t xml:space="preserve">Collections</w:t>
      </w:r>
    </w:p>
    <w:p>
      <w:pPr>
        <w:pStyle w:val="Compact"/>
        <w:numPr>
          <w:ilvl w:val="0"/>
          <w:numId w:val="1067"/>
        </w:numPr>
      </w:pPr>
      <w:r>
        <w:t xml:space="preserve">Supplier debt</w:t>
      </w:r>
    </w:p>
    <w:p>
      <w:pPr>
        <w:pStyle w:val="Compact"/>
        <w:numPr>
          <w:ilvl w:val="0"/>
          <w:numId w:val="1067"/>
        </w:numPr>
      </w:pPr>
      <w:r>
        <w:t xml:space="preserve">Customer receivable</w:t>
      </w:r>
    </w:p>
    <w:p>
      <w:pPr>
        <w:pStyle w:val="Compact"/>
        <w:numPr>
          <w:ilvl w:val="0"/>
          <w:numId w:val="1067"/>
        </w:numPr>
      </w:pPr>
      <w:r>
        <w:t xml:space="preserve">Employee advance/payment</w:t>
      </w:r>
    </w:p>
    <w:p>
      <w:pPr>
        <w:pStyle w:val="Compact"/>
        <w:numPr>
          <w:ilvl w:val="0"/>
          <w:numId w:val="1067"/>
        </w:numPr>
      </w:pPr>
      <w:r>
        <w:t xml:space="preserve">Opening balances</w:t>
      </w:r>
    </w:p>
    <w:p>
      <w:pPr>
        <w:pStyle w:val="Compact"/>
        <w:numPr>
          <w:ilvl w:val="0"/>
          <w:numId w:val="1067"/>
        </w:numPr>
      </w:pPr>
      <w:r>
        <w:t xml:space="preserve">Project link</w:t>
      </w:r>
    </w:p>
    <w:p>
      <w:pPr>
        <w:pStyle w:val="Compact"/>
        <w:numPr>
          <w:ilvl w:val="0"/>
          <w:numId w:val="1067"/>
        </w:numPr>
      </w:pPr>
      <w:r>
        <w:t xml:space="preserve">Purchasing invoice link</w:t>
      </w:r>
    </w:p>
    <w:p>
      <w:pPr>
        <w:pStyle w:val="Compact"/>
        <w:numPr>
          <w:ilvl w:val="0"/>
          <w:numId w:val="1067"/>
        </w:numPr>
      </w:pPr>
      <w:r>
        <w:t xml:space="preserve">Finance ledger</w:t>
      </w:r>
    </w:p>
    <w:p>
      <w:pPr>
        <w:pStyle w:val="Compact"/>
        <w:numPr>
          <w:ilvl w:val="0"/>
          <w:numId w:val="1067"/>
        </w:numPr>
      </w:pPr>
      <w:r>
        <w:t xml:space="preserve">Currency/local/base model</w:t>
      </w:r>
    </w:p>
    <w:bookmarkEnd w:id="53"/>
    <w:bookmarkStart w:id="54" w:name="kabul-kriterleri-5"/>
    <w:p>
      <w:pPr>
        <w:pStyle w:val="Heading3"/>
      </w:pPr>
      <w:r>
        <w:t xml:space="preserve">Kabul Kriterleri</w:t>
      </w:r>
    </w:p>
    <w:p>
      <w:pPr>
        <w:pStyle w:val="Compact"/>
        <w:numPr>
          <w:ilvl w:val="0"/>
          <w:numId w:val="1068"/>
        </w:numPr>
      </w:pPr>
      <w:r>
        <w:t xml:space="preserve">Finance modülü resmi muhasebe, bilanço, KDV beyannamesi veya tek düzen hesap planı olarak tasarlanmamalı.</w:t>
      </w:r>
    </w:p>
    <w:p>
      <w:pPr>
        <w:pStyle w:val="Compact"/>
        <w:numPr>
          <w:ilvl w:val="0"/>
          <w:numId w:val="1069"/>
        </w:numPr>
      </w:pPr>
      <w:r>
        <w:t xml:space="preserve">Cari bakiyesi fatura/ödeme/tahsilat hareketlerinden hesaplanmalı.</w:t>
      </w:r>
    </w:p>
    <w:p>
      <w:pPr>
        <w:pStyle w:val="Compact"/>
        <w:numPr>
          <w:ilvl w:val="0"/>
          <w:numId w:val="1070"/>
        </w:numPr>
      </w:pPr>
      <w:r>
        <w:t xml:space="preserve">Supplier debt purchase invoice ile doğmalı; purchase order tek başına kesin borç oluşturmamalı.</w:t>
      </w:r>
    </w:p>
    <w:p>
      <w:pPr>
        <w:pStyle w:val="Compact"/>
        <w:numPr>
          <w:ilvl w:val="0"/>
          <w:numId w:val="1071"/>
        </w:numPr>
      </w:pPr>
      <w:r>
        <w:t xml:space="preserve">Employee payment/advance HR employee ile bağlanmalı.</w:t>
      </w:r>
    </w:p>
    <w:p>
      <w:pPr>
        <w:pStyle w:val="Compact"/>
        <w:numPr>
          <w:ilvl w:val="0"/>
          <w:numId w:val="1072"/>
        </w:numPr>
      </w:pPr>
      <w:r>
        <w:t xml:space="preserve">Her finans hareketinde amount, currency_code, amount_local, amount_base veya eşdeğer snapshot standardı olmalı.</w:t>
      </w:r>
    </w:p>
    <w:p>
      <w:pPr>
        <w:pStyle w:val="Compact"/>
        <w:numPr>
          <w:ilvl w:val="0"/>
          <w:numId w:val="1073"/>
        </w:numPr>
      </w:pPr>
      <w:r>
        <w:t xml:space="preserve">Opening balance yöntemi desteklenmeli.</w:t>
      </w:r>
    </w:p>
    <w:p>
      <w:pPr>
        <w:pStyle w:val="Compact"/>
        <w:numPr>
          <w:ilvl w:val="0"/>
          <w:numId w:val="1074"/>
        </w:numPr>
      </w:pPr>
      <w:r>
        <w:t xml:space="preserve">Project_id opsiyonel ama standart alan olarak hazır olmalı.</w:t>
      </w:r>
    </w:p>
    <w:bookmarkEnd w:id="54"/>
    <w:bookmarkStart w:id="55" w:name="riskler-5"/>
    <w:p>
      <w:pPr>
        <w:pStyle w:val="Heading3"/>
      </w:pPr>
      <w:r>
        <w:t xml:space="preserve">Riskler</w:t>
      </w:r>
    </w:p>
    <w:p>
      <w:pPr>
        <w:pStyle w:val="Compact"/>
        <w:numPr>
          <w:ilvl w:val="0"/>
          <w:numId w:val="1075"/>
        </w:numPr>
      </w:pPr>
      <w:r>
        <w:t xml:space="preserve">Stok maliyeti ve satınalma akışı oturmadan finance başlarsa yanlış borç/maliyet doğar.</w:t>
      </w:r>
    </w:p>
    <w:p>
      <w:pPr>
        <w:pStyle w:val="Compact"/>
        <w:numPr>
          <w:ilvl w:val="0"/>
          <w:numId w:val="1075"/>
        </w:numPr>
      </w:pPr>
      <w:r>
        <w:t xml:space="preserve">Para birimi standardı zayıfsa cari bakiyeleri karışır.</w:t>
      </w:r>
    </w:p>
    <w:p>
      <w:pPr>
        <w:pStyle w:val="Compact"/>
        <w:numPr>
          <w:ilvl w:val="0"/>
          <w:numId w:val="1075"/>
        </w:numPr>
      </w:pPr>
      <w:r>
        <w:t xml:space="preserve">Resmi muhasebe kapsamı açılırsa proje büyür ve çekirdek hedef dağılır.</w:t>
      </w:r>
    </w:p>
    <w:bookmarkEnd w:id="55"/>
    <w:bookmarkStart w:id="56" w:name="test-doğrulama-senaryoları-5"/>
    <w:p>
      <w:pPr>
        <w:pStyle w:val="Heading3"/>
      </w:pPr>
      <w:r>
        <w:t xml:space="preserve">Test / Doğrulama Senaryoları</w:t>
      </w:r>
    </w:p>
    <w:p>
      <w:pPr>
        <w:pStyle w:val="Compact"/>
        <w:numPr>
          <w:ilvl w:val="0"/>
          <w:numId w:val="1076"/>
        </w:numPr>
      </w:pPr>
      <w:r>
        <w:t xml:space="preserve">Tedarikçi faturası → borç oluşur.</w:t>
      </w:r>
    </w:p>
    <w:p>
      <w:pPr>
        <w:pStyle w:val="Compact"/>
        <w:numPr>
          <w:ilvl w:val="0"/>
          <w:numId w:val="1076"/>
        </w:numPr>
      </w:pPr>
      <w:r>
        <w:t xml:space="preserve">Ödeme → borç azalır.</w:t>
      </w:r>
    </w:p>
    <w:p>
      <w:pPr>
        <w:pStyle w:val="Compact"/>
        <w:numPr>
          <w:ilvl w:val="0"/>
          <w:numId w:val="1076"/>
        </w:numPr>
      </w:pPr>
      <w:r>
        <w:t xml:space="preserve">USD fatura USD kalır; local karşılığı raporlama için hesaplanır.</w:t>
      </w:r>
    </w:p>
    <w:p>
      <w:pPr>
        <w:pStyle w:val="Compact"/>
        <w:numPr>
          <w:ilvl w:val="0"/>
          <w:numId w:val="1076"/>
        </w:numPr>
      </w:pPr>
      <w:r>
        <w:t xml:space="preserve">Personel avansı employee party’ye bağlanır.</w:t>
      </w:r>
    </w:p>
    <w:p>
      <w:pPr>
        <w:pStyle w:val="Compact"/>
        <w:numPr>
          <w:ilvl w:val="0"/>
          <w:numId w:val="1076"/>
        </w:numPr>
      </w:pPr>
      <w:r>
        <w:t xml:space="preserve">Açılış bakiyesi girildiğinde cari/kasa başlangıcı doğru görünür.</w:t>
      </w:r>
    </w:p>
    <w:bookmarkEnd w:id="56"/>
    <w:bookmarkStart w:id="57" w:name="v2-referans-noktaları-5"/>
    <w:p>
      <w:pPr>
        <w:pStyle w:val="Heading3"/>
      </w:pPr>
      <w:r>
        <w:t xml:space="preserve">V2 Referans Noktaları</w:t>
      </w:r>
    </w:p>
    <w:p>
      <w:pPr>
        <w:pStyle w:val="Compact"/>
        <w:numPr>
          <w:ilvl w:val="0"/>
          <w:numId w:val="1077"/>
        </w:numPr>
      </w:pPr>
      <w:r>
        <w:t xml:space="preserve">V2’de tam finans modülü yok; V2 satınalma, HR, stok verileri finans bağlantısı için referanstır.</w:t>
      </w:r>
    </w:p>
    <w:p>
      <w:pPr>
        <w:pStyle w:val="Compact"/>
        <w:numPr>
          <w:ilvl w:val="0"/>
          <w:numId w:val="1077"/>
        </w:numPr>
      </w:pPr>
      <w:r>
        <w:t xml:space="preserve">V2 currency/local/base tartışmaları.</w:t>
      </w:r>
    </w:p>
    <w:p>
      <w:pPr>
        <w:pStyle w:val="Compact"/>
        <w:numPr>
          <w:ilvl w:val="0"/>
          <w:numId w:val="1077"/>
        </w:numPr>
      </w:pPr>
      <w:r>
        <w:t xml:space="preserve">V2 stok maliyet ve satınalma borç ayrımı kararları.</w:t>
      </w:r>
    </w:p>
    <w:bookmarkEnd w:id="57"/>
    <w:bookmarkStart w:id="58" w:name="X2d003f0cd8cff4d9f025c55daf6ac7899d500a7"/>
    <w:p>
      <w:pPr>
        <w:pStyle w:val="Heading3"/>
      </w:pPr>
      <w:r>
        <w:t xml:space="preserve">Bu Gate Tamamlanmadan Başlanmayacak İşler</w:t>
      </w:r>
    </w:p>
    <w:p>
      <w:pPr>
        <w:pStyle w:val="Compact"/>
        <w:numPr>
          <w:ilvl w:val="0"/>
          <w:numId w:val="1078"/>
        </w:numPr>
      </w:pPr>
      <w:r>
        <w:t xml:space="preserve">Resmi muhasebe modülü başlatılmayacak.</w:t>
      </w:r>
    </w:p>
    <w:p>
      <w:pPr>
        <w:pStyle w:val="Compact"/>
        <w:numPr>
          <w:ilvl w:val="0"/>
          <w:numId w:val="1078"/>
        </w:numPr>
      </w:pPr>
      <w:r>
        <w:t xml:space="preserve">Bilanço/gelir tablosu/KDV gibi konular açılmayacak.</w:t>
      </w:r>
    </w:p>
    <w:p>
      <w:pPr>
        <w:pStyle w:val="Compact"/>
        <w:numPr>
          <w:ilvl w:val="0"/>
          <w:numId w:val="1078"/>
        </w:numPr>
      </w:pPr>
      <w:r>
        <w:t xml:space="preserve">Projects advanced profitability finance core oturmadan yapılmayacak.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genel-go-no-go-checklist"/>
    <w:p>
      <w:pPr>
        <w:pStyle w:val="Heading2"/>
      </w:pPr>
      <w:r>
        <w:t xml:space="preserve">4. Genel Go / No-Go Checklist</w:t>
      </w:r>
    </w:p>
    <w:p>
      <w:pPr>
        <w:pStyle w:val="Compact"/>
        <w:numPr>
          <w:ilvl w:val="0"/>
          <w:numId w:val="1079"/>
        </w:numPr>
      </w:pPr>
      <w:r>
        <w:t xml:space="preserve">Blueprint tüm başlıklarıyla onaylandı mı?</w:t>
      </w:r>
    </w:p>
    <w:p>
      <w:pPr>
        <w:pStyle w:val="Compact"/>
        <w:numPr>
          <w:ilvl w:val="0"/>
          <w:numId w:val="1080"/>
        </w:numPr>
      </w:pPr>
      <w:r>
        <w:t xml:space="preserve">V2 HR/Stock/Purchasing iş kuralları yazılı hale getirildi mi?</w:t>
      </w:r>
    </w:p>
    <w:p>
      <w:pPr>
        <w:pStyle w:val="Compact"/>
        <w:numPr>
          <w:ilvl w:val="0"/>
          <w:numId w:val="1081"/>
        </w:numPr>
      </w:pPr>
      <w:r>
        <w:t xml:space="preserve">V2 modal/popup flow envanteri tamamlandı mı?</w:t>
      </w:r>
    </w:p>
    <w:p>
      <w:pPr>
        <w:pStyle w:val="Compact"/>
        <w:numPr>
          <w:ilvl w:val="0"/>
          <w:numId w:val="1082"/>
        </w:numPr>
      </w:pPr>
      <w:r>
        <w:t xml:space="preserve">UI design system özel CSS ihtiyacını ortadan kaldıracak kadar net mi?</w:t>
      </w:r>
    </w:p>
    <w:p>
      <w:pPr>
        <w:pStyle w:val="Compact"/>
        <w:numPr>
          <w:ilvl w:val="0"/>
          <w:numId w:val="1083"/>
        </w:numPr>
      </w:pPr>
      <w:r>
        <w:t xml:space="preserve">Admin registry ve permission modeli hem frontend hem backend için tek kaynak mı?</w:t>
      </w:r>
    </w:p>
    <w:p>
      <w:pPr>
        <w:pStyle w:val="Compact"/>
        <w:numPr>
          <w:ilvl w:val="0"/>
          <w:numId w:val="1084"/>
        </w:numPr>
      </w:pPr>
      <w:r>
        <w:t xml:space="preserve">Migration sistemi yeni kolon/modül ekleme sırasında patlamayı önleyecek kadar net mi?</w:t>
      </w:r>
    </w:p>
    <w:p>
      <w:pPr>
        <w:pStyle w:val="Compact"/>
        <w:numPr>
          <w:ilvl w:val="0"/>
          <w:numId w:val="1085"/>
        </w:numPr>
      </w:pPr>
      <w:r>
        <w:t xml:space="preserve">Currency/country/language ayarları form davranışına gerçekten etki ediyor mu?</w:t>
      </w:r>
    </w:p>
    <w:p>
      <w:pPr>
        <w:pStyle w:val="Compact"/>
        <w:numPr>
          <w:ilvl w:val="0"/>
          <w:numId w:val="1086"/>
        </w:numPr>
      </w:pPr>
      <w:r>
        <w:t xml:space="preserve">Stok unit_cost FIFO modeli m² legacy modelini tamamen dışlıyor mu?</w:t>
      </w:r>
    </w:p>
    <w:p>
      <w:pPr>
        <w:pStyle w:val="Compact"/>
        <w:numPr>
          <w:ilvl w:val="0"/>
          <w:numId w:val="1087"/>
        </w:numPr>
      </w:pPr>
      <w:r>
        <w:t xml:space="preserve">Satınalma mal kabul ve fiyat/fatura ayrımı doğru tanımlandı mı?</w:t>
      </w:r>
    </w:p>
    <w:p>
      <w:pPr>
        <w:pStyle w:val="Compact"/>
        <w:numPr>
          <w:ilvl w:val="0"/>
          <w:numId w:val="1088"/>
        </w:numPr>
      </w:pPr>
      <w:r>
        <w:t xml:space="preserve">Finance resmi muhasebe değil, finansal takip olarak sınırlandırıldı mı?</w:t>
      </w:r>
    </w:p>
    <w:p>
      <w:r>
        <w:pict>
          <v:rect style="width:0;height:1.5pt" o:hralign="center" o:hrstd="t" o:hr="t"/>
        </w:pict>
      </w:r>
    </w:p>
    <w:bookmarkEnd w:id="60"/>
    <w:bookmarkStart w:id="61" w:name="v3-için-ana-hatırlatma"/>
    <w:p>
      <w:pPr>
        <w:pStyle w:val="Heading2"/>
      </w:pPr>
      <w:r>
        <w:t xml:space="preserve">5. V3 İçin Ana Hatırlatma</w:t>
      </w:r>
    </w:p>
    <w:p>
      <w:pPr>
        <w:pStyle w:val="FirstParagraph"/>
      </w:pPr>
      <w:r>
        <w:t xml:space="preserve">V3’te amaç hızlı çalışan demo değil;</w:t>
      </w:r>
      <w:r>
        <w:t xml:space="preserve"> </w:t>
      </w:r>
      <w:r>
        <w:rPr>
          <w:b/>
          <w:bCs/>
        </w:rPr>
        <w:t xml:space="preserve">modül ekledikçe bozulmayan merkezi ERP çekirdeğidir.</w:t>
      </w:r>
      <w:r>
        <w:t xml:space="preserve"> </w:t>
      </w:r>
      <w:r>
        <w:t xml:space="preserve">Süre değil,</w:t>
      </w:r>
      <w:r>
        <w:t xml:space="preserve"> </w:t>
      </w:r>
      <w:r>
        <w:rPr>
          <w:b/>
          <w:bCs/>
        </w:rPr>
        <w:t xml:space="preserve">kabul kriteri</w:t>
      </w:r>
      <w:r>
        <w:t xml:space="preserve"> </w:t>
      </w:r>
      <w:r>
        <w:t xml:space="preserve">esastır.</w:t>
      </w:r>
      <w:r>
        <w:t xml:space="preserve"> </w:t>
      </w:r>
      <w:r>
        <w:rPr>
          <w:b/>
          <w:bCs/>
        </w:rPr>
        <w:t xml:space="preserve">Gate tamamlanmadan sonraki işe geçilmez.</w:t>
      </w:r>
    </w:p>
    <w:p>
      <w:r>
        <w:pict>
          <v:rect style="width:0;height:1.5pt" o:hralign="center" o:hrstd="t" o:hr="t"/>
        </w:pict>
      </w:r>
    </w:p>
    <w:bookmarkEnd w:id="61"/>
    <w:bookmarkStart w:id="62" w:name="ilgili-dosyalar"/>
    <w:p>
      <w:pPr>
        <w:pStyle w:val="Heading2"/>
      </w:pPr>
      <w:r>
        <w:t xml:space="preserve">İlgili dosyalar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Dosya</w:t>
            </w:r>
          </w:p>
        </w:tc>
        <w:tc>
          <w:tcPr/>
          <w:p>
            <w:pPr>
              <w:pStyle w:val="Compac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docs/v3-spec/README.md</w:t>
            </w:r>
          </w:p>
        </w:tc>
        <w:tc>
          <w:tcPr/>
          <w:p>
            <w:pPr>
              <w:pStyle w:val="Compact"/>
            </w:pPr>
            <w:r>
              <w:t xml:space="preserve">Gate 0 spec klasörü indeksi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docs/v3-spec/00-gate0-checklist.md</w:t>
            </w:r>
          </w:p>
        </w:tc>
        <w:tc>
          <w:tcPr/>
          <w:p>
            <w:pPr>
              <w:pStyle w:val="Compact"/>
            </w:pPr>
            <w:r>
              <w:t xml:space="preserve">Gate 0 onay listesi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docs/FactoryOS-V3-Gate-Blueprint.md</w:t>
            </w:r>
          </w:p>
        </w:tc>
        <w:tc>
          <w:tcPr/>
          <w:p>
            <w:pPr>
              <w:pStyle w:val="Compact"/>
            </w:pPr>
            <w:r>
              <w:t xml:space="preserve">Teknik genişletme (referans)</w:t>
            </w:r>
          </w:p>
        </w:tc>
      </w:tr>
    </w:tbl>
    <w:p>
      <w:pPr>
        <w:pStyle w:val="BodyText"/>
      </w:pPr>
      <w:r>
        <w:rPr>
          <w:b/>
          <w:bCs/>
        </w:rPr>
        <w:t xml:space="preserve">Dışa aktarma:</w:t>
      </w:r>
      <w:r>
        <w:t xml:space="preserve"> </w:t>
      </w:r>
      <w:r>
        <w:rPr>
          <w:rStyle w:val="VerbatimChar"/>
        </w:rPr>
        <w:t xml:space="preserve">python docs/export-blueprint.py</w:t>
      </w:r>
      <w:r>
        <w:t xml:space="preserve"> </w:t>
      </w:r>
      <w:r>
        <w:t xml:space="preserve">(script güncellenebilir)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2026-05-19T05:05:24Z</dcterms:created>
  <dcterms:modified xsi:type="dcterms:W3CDTF">2026-05-19T05:05:24Z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