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b/>
          <w:color w:val="1F3A5F"/>
          <w:sz w:val="52"/>
        </w:rPr>
        <w:t>QrDiode — Technical Security Review</w:t>
      </w:r>
    </w:p>
    <w:p>
      <w:r>
        <w:rPr>
          <w:color w:val="555555"/>
          <w:sz w:val="26"/>
        </w:rPr>
        <w:t>As-built white-box review · one-way optical data diode (OT → IT) over animated QR codes</w:t>
      </w:r>
    </w:p>
    <w:p/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fill="EDF1F7"/>
          </w:tcPr>
          <w:p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1.0 (as-built)</w:t>
            </w:r>
          </w:p>
        </w:tc>
      </w:tr>
      <w:tr>
        <w:tc>
          <w:tcPr>
            <w:tcW w:type="dxa" w:w="2448"/>
            <w:shd w:val="clear" w:fill="EDF1F7"/>
          </w:tcPr>
          <w:p>
            <w:r/>
            <w:r>
              <w:rPr>
                <w:b/>
                <w:sz w:val="19"/>
              </w:rPr>
              <w:t>Review date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2026-08-20</w:t>
            </w:r>
          </w:p>
        </w:tc>
      </w:tr>
      <w:tr>
        <w:tc>
          <w:tcPr>
            <w:tcW w:type="dxa" w:w="2448"/>
            <w:shd w:val="clear" w:fill="EDF1F7"/>
          </w:tcPr>
          <w:p>
            <w:r/>
            <w:r>
              <w:rPr>
                <w:b/>
                <w:sz w:val="19"/>
              </w:rPr>
              <w:t>Review type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White-box source review · 100% of non-generated source read · test suite executed (75/75)</w:t>
            </w:r>
          </w:p>
        </w:tc>
      </w:tr>
      <w:tr>
        <w:tc>
          <w:tcPr>
            <w:tcW w:type="dxa" w:w="2448"/>
            <w:shd w:val="clear" w:fill="EDF1F7"/>
          </w:tcPr>
          <w:p>
            <w:r/>
            <w:r>
              <w:rPr>
                <w:b/>
                <w:sz w:val="19"/>
              </w:rPr>
              <w:t>Findings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F-01 … F-13 · roadmap P0/P1/P2</w:t>
            </w:r>
          </w:p>
        </w:tc>
      </w:tr>
      <w:tr>
        <w:tc>
          <w:tcPr>
            <w:tcW w:type="dxa" w:w="2448"/>
            <w:shd w:val="clear" w:fill="EDF1F7"/>
          </w:tcPr>
          <w:p>
            <w:r/>
            <w:r>
              <w:rPr>
                <w:b/>
                <w:sz w:val="19"/>
              </w:rPr>
              <w:t>Companion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SECURITY_REVIEW_V2.docx — target-state remediation assessment</w:t>
            </w:r>
          </w:p>
        </w:tc>
      </w:tr>
      <w:tr>
        <w:tc>
          <w:tcPr>
            <w:tcW w:type="dxa" w:w="2448"/>
            <w:shd w:val="clear" w:fill="EDF1F7"/>
          </w:tcPr>
          <w:p>
            <w:r/>
            <w:r>
              <w:rPr>
                <w:b/>
                <w:sz w:val="19"/>
              </w:rPr>
              <w:t>Distribution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Internal + external security review</w:t>
            </w:r>
          </w:p>
        </w:tc>
      </w:tr>
    </w:tbl>
    <w:p>
      <w:r>
        <w:br w:type="page"/>
      </w:r>
    </w:p>
    <w:p>
      <w:r>
        <w:rPr>
          <w:b/>
          <w:color w:val="1F3A5F"/>
          <w:sz w:val="30"/>
        </w:rPr>
        <w:t>Contents</w:t>
      </w:r>
    </w:p>
    <w:p>
      <w:r>
        <w:fldChar w:fldCharType="begin"/>
        <w:instrText xml:space="preserve">TOC \o "1-3" \h \z \u</w:instrText>
        <w:fldChar w:fldCharType="separate"/>
        <w:t>Table of contents — in Word: select this line, press F9 (or right-click → Update Field).</w:t>
        <w:fldChar w:fldCharType="end"/>
      </w:r>
    </w:p>
    <w:p>
      <w:r>
        <w:br w:type="page"/>
      </w:r>
    </w:p>
    <w:p>
      <w:r>
        <w:rPr>
          <w:b/>
        </w:rPr>
        <w:t>Target:</w:t>
      </w:r>
      <w:r>
        <w:t xml:space="preserve"> QrDiode one-way optical data diode (OT → IT) over animated QR codes — full workspace </w:t>
      </w:r>
      <w:r>
        <w:rPr>
          <w:rFonts w:ascii="Consolas" w:hAnsi="Consolas"/>
          <w:color w:val="8B2F2F"/>
          <w:sz w:val="19"/>
        </w:rPr>
        <w:t>d:\WORKSPACE\qr-code</w:t>
      </w:r>
    </w:p>
    <w:p>
      <w:r>
        <w:rPr>
          <w:b/>
        </w:rPr>
        <w:t>Review date:</w:t>
      </w:r>
      <w:r>
        <w:t xml:space="preserve"> 2026-08-20</w:t>
      </w:r>
    </w:p>
    <w:p>
      <w:r>
        <w:rPr>
          <w:b/>
        </w:rPr>
        <w:t>Review type:</w:t>
      </w:r>
      <w:r>
        <w:t xml:space="preserve"> White-box source review (100 % of non-generated source read), static analysis, verification of documented controls against implementation, execution of the project test suite (75/75 passed on the review machine).</w:t>
      </w:r>
    </w:p>
    <w:p>
      <w:r>
        <w:rPr>
          <w:b/>
        </w:rPr>
        <w:t>Audience:</w:t>
      </w:r>
      <w:r>
        <w:t xml:space="preserve"> Security engineering / OT-IT cyber security staff</w:t>
      </w:r>
    </w:p>
    <w:p>
      <w:r>
        <w:rPr>
          <w:b/>
        </w:rPr>
        <w:t>Scope note:</w:t>
      </w:r>
      <w:r>
        <w:t xml:space="preserve"> Per the operator, the production use case is </w:t>
      </w:r>
      <w:r>
        <w:rPr>
          <w:b/>
        </w:rPr>
        <w:t>transactional payloads only (XML/JSON)</w:t>
      </w:r>
      <w:r>
        <w:t xml:space="preserve"> — the file-transfer path exists in code and is covered here, but recommendations weight the transactional case.</w:t>
      </w:r>
    </w:p>
    <w:p>
      <w:pPr>
        <w:ind w:left="432"/>
      </w:pPr>
      <w:r>
        <w:rPr>
          <w:b/>
          <w:i/>
          <w:color w:val="555555"/>
        </w:rPr>
        <w:t>Evidence discipline.</w:t>
      </w:r>
      <w:r>
        <w:rPr>
          <w:i/>
          <w:color w:val="555555"/>
        </w:rPr>
        <w:t xml:space="preserve"> Every claim in this document is tied to a file (and usually a line) in the repository as reviewed. Nothing is asserted from the project's own documentation without independent confirmation in code. Where the reviewer could not verify a property (e.g., physical-channel behavior), that is stated explicitly.</w:t>
      </w:r>
    </w:p>
    <w:p>
      <w:pPr>
        <w:pStyle w:val="Heading1"/>
      </w:pPr>
      <w:r>
        <w:t>1. Executive summary</w:t>
      </w:r>
    </w:p>
    <w:p>
      <w:r>
        <w:t xml:space="preserve">QrDiode moves data from an OT network to an IT network with </w:t>
      </w:r>
      <w:r>
        <w:rPr>
          <w:b/>
        </w:rPr>
        <w:t>no electrical or network path</w:t>
      </w:r>
      <w:r>
        <w:t xml:space="preserve">: the OT machine renders a carousel of QR codes on a screen; the IT machine watches it with a camera. Unidirectionality is physical, not logical — there is </w:t>
      </w:r>
      <w:r>
        <w:rPr>
          <w:b/>
        </w:rPr>
        <w:t>no back-channel of any kind</w:t>
      </w:r>
      <w:r>
        <w:t xml:space="preserve">, and a repository-wide search confirms </w:t>
      </w:r>
      <w:r>
        <w:rPr>
          <w:b/>
        </w:rPr>
        <w:t>zero network API usage</w:t>
      </w:r>
      <w:r>
        <w:t xml:space="preserve"> (no sockets, HTTP, or RPC anywhere in </w:t>
      </w:r>
      <w:r>
        <w:rPr>
          <w:rFonts w:ascii="Consolas" w:hAnsi="Consolas"/>
          <w:color w:val="8B2F2F"/>
          <w:sz w:val="19"/>
        </w:rPr>
        <w:t>src/</w:t>
      </w:r>
      <w:r>
        <w:t xml:space="preserve">). Reliability without acknowledgements is achieved with a systematic </w:t>
      </w:r>
      <w:r>
        <w:rPr>
          <w:b/>
        </w:rPr>
        <w:t>Luby Transform (LT) fountain code</w:t>
      </w:r>
      <w:r>
        <w:t>.</w:t>
      </w:r>
    </w:p>
    <w:p>
      <w:r>
        <w:t xml:space="preserve">Contrary to most hobby QR-transfer projects, the security layer here is real and correctly ordered: </w:t>
      </w:r>
      <w:r>
        <w:rPr>
          <w:b/>
        </w:rPr>
        <w:t>ECDSA P-256 signature verification of a manifest happens before a single payload byte is interpreted</w:t>
      </w:r>
      <w:r>
        <w:t xml:space="preserve">, payloads are </w:t>
      </w:r>
      <w:r>
        <w:rPr>
          <w:b/>
        </w:rPr>
        <w:t>AES-256-GCM</w:t>
      </w:r>
      <w:r>
        <w:t xml:space="preserve"> encrypted under a per-session key from </w:t>
      </w:r>
      <w:r>
        <w:rPr>
          <w:b/>
        </w:rPr>
        <w:t>static-static ECDH P-256 + HKDF-SHA256</w:t>
      </w:r>
      <w:r>
        <w:t>, and a three-factor anti-replay scheme (session GUID, per-sender-key monotonic counter, timestamp window) is enforced from a transactional SQLite store. The receive pipeline is fail-closed at every step and the ordering was verified line-by-line (</w:t>
      </w:r>
      <w:r>
        <w:rPr>
          <w:rFonts w:ascii="Consolas" w:hAnsi="Consolas"/>
          <w:color w:val="8B2F2F"/>
          <w:sz w:val="19"/>
        </w:rPr>
        <w:t>ReceiveEngine.cs</w:t>
      </w:r>
      <w:r>
        <w:t>).</w:t>
      </w:r>
    </w:p>
    <w:p>
      <w:r>
        <w:rPr>
          <w:b/>
        </w:rPr>
        <w:t>Overall assessment: strong protocol-level design, above industry norm for this class of tool.</w:t>
      </w:r>
      <w:r>
        <w:t xml:space="preserve"> The residual risk concentrates in four areas:</w:t>
      </w:r>
    </w:p>
    <w:p>
      <w:pPr>
        <w:pStyle w:val="ListNumber"/>
      </w:pPr>
      <w:r>
        <w:rPr>
          <w:b/>
        </w:rPr>
        <w:t>Cleartext manifest metadata</w:t>
      </w:r>
      <w:r>
        <w:t xml:space="preserve"> — filenames, sizes, timestamps and key IDs are visible to anyone who can film the screen (F-01).</w:t>
      </w:r>
    </w:p>
    <w:p>
      <w:pPr>
        <w:pStyle w:val="ListNumber"/>
      </w:pPr>
      <w:r>
        <w:rPr>
          <w:b/>
        </w:rPr>
        <w:t>Host-side trust and state stores</w:t>
      </w:r>
      <w:r>
        <w:t xml:space="preserve"> are plain user-writable files without ACL hardening — the local-machine attacker model is under-addressed relative to the protocol's strength (F-03, F-04, F-05).</w:t>
      </w:r>
    </w:p>
    <w:p>
      <w:pPr>
        <w:pStyle w:val="ListNumber"/>
      </w:pPr>
      <w:r>
        <w:rPr>
          <w:b/>
        </w:rPr>
        <w:t>Availability under optical injection</w:t>
      </w:r>
      <w:r>
        <w:t xml:space="preserve"> — data symbols are only CRC-protected before decode completion; a hostile light source can poison and permanently "settle" an in-flight session (F-06). Integrity and confidentiality hold; delivery does not.</w:t>
      </w:r>
    </w:p>
    <w:p>
      <w:pPr>
        <w:pStyle w:val="ListNumber"/>
      </w:pPr>
      <w:r>
        <w:rPr>
          <w:b/>
        </w:rPr>
        <w:t>Long-horizon cryptography</w:t>
      </w:r>
      <w:r>
        <w:t xml:space="preserve"> — static-static ECDH provides no forward secrecy, and P-256/ECDH is not post-quantum; the "film the screen now, decrypt later" scenario is credible for this medium (F-02).</w:t>
      </w:r>
    </w:p>
    <w:p>
      <w:r>
        <w:t>None of the findings is a remotely exploitable compromise of integrity or confidentiality within the stated threat model. All are hardening gaps with concrete, implementable fixes (§7).</w:t>
      </w:r>
    </w:p>
    <w:p>
      <w:pPr>
        <w:pStyle w:val="Heading1"/>
      </w:pPr>
      <w:r>
        <w:t>2. System inventory (as reviewed)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21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21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Trust position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8B2F2F"/>
                <w:sz w:val="15"/>
              </w:rPr>
              <w:t>src/QrDiode.Core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Protocol library: framing, LT codec, crypto envelope, manifest, pipelines, content gate, audit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Shared, UI-free; the security kernel</w:t>
            </w:r>
          </w:p>
        </w:tc>
      </w:tr>
      <w:tr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8B2F2F"/>
                <w:sz w:val="15"/>
              </w:rPr>
              <w:t>src/QrDiode.Sender</w:t>
            </w:r>
            <w:r>
              <w:rPr>
                <w:sz w:val="17"/>
              </w:rPr>
              <w:t xml:space="preserve"> (WPF)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OT side: payload queue, encrypt/sign pipeline, QR stage renderer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Runs inside the OT zone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8B2F2F"/>
                <w:sz w:val="15"/>
              </w:rPr>
              <w:t>src/QrDiode.Receiver</w:t>
            </w:r>
            <w:r>
              <w:rPr>
                <w:sz w:val="17"/>
              </w:rPr>
              <w:t xml:space="preserve"> (WPF)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IT side: camera capture, decode, verification chain, quarantine store, SQLite journal, archive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Runs inside the IT zone; primary attack surface</w:t>
            </w:r>
          </w:p>
        </w:tc>
      </w:tr>
      <w:tr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8B2F2F"/>
                <w:sz w:val="15"/>
              </w:rPr>
              <w:t>src/QrDiode.KeyCeremony</w:t>
            </w:r>
            <w:r>
              <w:rPr>
                <w:sz w:val="17"/>
              </w:rPr>
              <w:t xml:space="preserve"> (console)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Offline keygen (CNG/TPM), public-bundle export/import, fingerprints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Provisioning tool, both zones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8B2F2F"/>
                <w:sz w:val="15"/>
              </w:rPr>
              <w:t>tests/QrDiode.Core.Tests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75 tests incl. optical loopback, bit-flip fuzzing, crypto negative paths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 xml:space="preserve">Executed by reviewer: </w:t>
            </w:r>
            <w:r>
              <w:rPr>
                <w:b/>
                <w:sz w:val="17"/>
              </w:rPr>
              <w:t>75/75 passed</w:t>
            </w:r>
          </w:p>
        </w:tc>
      </w:tr>
    </w:tbl>
    <w:p/>
    <w:p>
      <w:r>
        <w:rPr>
          <w:b/>
        </w:rPr>
        <w:t>Runtime / dependencies</w:t>
      </w:r>
      <w:r>
        <w:t xml:space="preserve"> (from </w:t>
      </w:r>
      <w:r>
        <w:rPr>
          <w:rFonts w:ascii="Consolas" w:hAnsi="Consolas"/>
          <w:color w:val="8B2F2F"/>
          <w:sz w:val="19"/>
        </w:rPr>
        <w:t>.csproj</w:t>
      </w:r>
      <w:r>
        <w:t xml:space="preserve"> files): .NET 10, WPF. Crypto is </w:t>
      </w:r>
      <w:r>
        <w:rPr>
          <w:b/>
        </w:rPr>
        <w:t>exclusively in-box `System.Security.Cryptography`</w:t>
      </w:r>
      <w:r>
        <w:t xml:space="preserve"> (no third-party crypto — supply-chain positive). Third-party packages: </w:t>
      </w:r>
      <w:r>
        <w:rPr>
          <w:rFonts w:ascii="Consolas" w:hAnsi="Consolas"/>
          <w:color w:val="8B2F2F"/>
          <w:sz w:val="19"/>
        </w:rPr>
        <w:t>Net.Codecrete.QrCodeGenerator</w:t>
      </w:r>
      <w:r>
        <w:t xml:space="preserve"> 3.1.0 (pure C# QR encode), </w:t>
      </w:r>
      <w:r>
        <w:rPr>
          <w:rFonts w:ascii="Consolas" w:hAnsi="Consolas"/>
          <w:color w:val="8B2F2F"/>
          <w:sz w:val="19"/>
        </w:rPr>
        <w:t>ZXingCpp</w:t>
      </w:r>
      <w:r>
        <w:t xml:space="preserve"> 0.5.3 (</w:t>
      </w:r>
      <w:r>
        <w:rPr>
          <w:b/>
        </w:rPr>
        <w:t>native</w:t>
      </w:r>
      <w:r>
        <w:t xml:space="preserve"> zxing-cpp decoder, P/Invoked), </w:t>
      </w:r>
      <w:r>
        <w:rPr>
          <w:rFonts w:ascii="Consolas" w:hAnsi="Consolas"/>
          <w:color w:val="8B2F2F"/>
          <w:sz w:val="19"/>
        </w:rPr>
        <w:t>FlashCap</w:t>
      </w:r>
      <w:r>
        <w:t xml:space="preserve"> 1.11.0 (camera), </w:t>
      </w:r>
      <w:r>
        <w:rPr>
          <w:rFonts w:ascii="Consolas" w:hAnsi="Consolas"/>
          <w:color w:val="8B2F2F"/>
          <w:sz w:val="19"/>
        </w:rPr>
        <w:t>Microsoft.Data.Sqlite</w:t>
      </w:r>
      <w:r>
        <w:t xml:space="preserve"> 10.0.10 + </w:t>
      </w:r>
      <w:r>
        <w:rPr>
          <w:rFonts w:ascii="Consolas" w:hAnsi="Consolas"/>
          <w:color w:val="8B2F2F"/>
          <w:sz w:val="19"/>
        </w:rPr>
        <w:t>SQLitePCLRaw.bundle_e_sqlite3</w:t>
      </w:r>
      <w:r>
        <w:t xml:space="preserve"> 3.0.5, </w:t>
      </w:r>
      <w:r>
        <w:rPr>
          <w:rFonts w:ascii="Consolas" w:hAnsi="Consolas"/>
          <w:color w:val="8B2F2F"/>
          <w:sz w:val="19"/>
        </w:rPr>
        <w:t>System.IO.Hashing</w:t>
      </w:r>
      <w:r>
        <w:t xml:space="preserve"> 10.0.10 (CRC-32), </w:t>
      </w:r>
      <w:r>
        <w:rPr>
          <w:rFonts w:ascii="Consolas" w:hAnsi="Consolas"/>
          <w:color w:val="8B2F2F"/>
          <w:sz w:val="19"/>
        </w:rPr>
        <w:t>System.Security.Cryptography.ProtectedData</w:t>
      </w:r>
      <w:r>
        <w:t xml:space="preserve"> 10.0.10 (DPAPI).</w:t>
      </w:r>
    </w:p>
    <w:p>
      <w:r>
        <w:rPr>
          <w:b/>
        </w:rPr>
        <w:t>Confirmed absent</w:t>
      </w:r>
      <w:r>
        <w:t xml:space="preserve"> (grep over all of </w:t>
      </w:r>
      <w:r>
        <w:rPr>
          <w:rFonts w:ascii="Consolas" w:hAnsi="Consolas"/>
          <w:color w:val="8B2F2F"/>
          <w:sz w:val="19"/>
        </w:rPr>
        <w:t>src/</w:t>
      </w:r>
      <w:r>
        <w:t xml:space="preserve">): </w:t>
      </w:r>
      <w:r>
        <w:rPr>
          <w:rFonts w:ascii="Consolas" w:hAnsi="Consolas"/>
          <w:color w:val="8B2F2F"/>
          <w:sz w:val="19"/>
        </w:rPr>
        <w:t>HttpClient</w:t>
      </w:r>
      <w:r>
        <w:t xml:space="preserve">, sockets, </w:t>
      </w:r>
      <w:r>
        <w:rPr>
          <w:rFonts w:ascii="Consolas" w:hAnsi="Consolas"/>
          <w:color w:val="8B2F2F"/>
          <w:sz w:val="19"/>
        </w:rPr>
        <w:t>WebRequest</w:t>
      </w:r>
      <w:r>
        <w:t xml:space="preserve">, </w:t>
      </w:r>
      <w:r>
        <w:rPr>
          <w:rFonts w:ascii="Consolas" w:hAnsi="Consolas"/>
          <w:color w:val="8B2F2F"/>
          <w:sz w:val="19"/>
        </w:rPr>
        <w:t>BinaryFormatter</w:t>
      </w:r>
      <w:r>
        <w:t xml:space="preserve"> or any polymorphic deserialization, registry access. </w:t>
      </w:r>
      <w:r>
        <w:rPr>
          <w:rFonts w:ascii="Consolas" w:hAnsi="Consolas"/>
          <w:color w:val="8B2F2F"/>
          <w:sz w:val="19"/>
        </w:rPr>
        <w:t>Process.Start</w:t>
      </w:r>
      <w:r>
        <w:t xml:space="preserve"> occurs only to open Explorer on a stored path (receiver UI). The only P/Invoke authored in this codebase is </w:t>
      </w:r>
      <w:r>
        <w:rPr>
          <w:rFonts w:ascii="Consolas" w:hAnsi="Consolas"/>
          <w:color w:val="8B2F2F"/>
          <w:sz w:val="19"/>
        </w:rPr>
        <w:t>SetThreadExecutionState</w:t>
      </w:r>
      <w:r>
        <w:t xml:space="preserve"> (keep display awake, </w:t>
      </w:r>
      <w:r>
        <w:rPr>
          <w:rFonts w:ascii="Consolas" w:hAnsi="Consolas"/>
          <w:color w:val="8B2F2F"/>
          <w:sz w:val="19"/>
        </w:rPr>
        <w:t>StageWindow.xaml.cs:329</w:t>
      </w:r>
      <w:r>
        <w:t>).</w:t>
      </w:r>
    </w:p>
    <w:p>
      <w:pPr>
        <w:pStyle w:val="Heading1"/>
      </w:pPr>
      <w:r>
        <w:t>3. The transfer process, bit by bit</w:t>
      </w:r>
    </w:p>
    <w:p>
      <w:pPr>
        <w:pStyle w:val="Heading2"/>
      </w:pPr>
      <w:r>
        <w:rPr>
          <w:color w:val="1F3A5F"/>
        </w:rPr>
        <w:t>3.1 Wire format (protocol v1)</w:t>
      </w:r>
    </w:p>
    <w:p>
      <w:r>
        <w:t>One QR code carries exactly one frame. Byte mode, all integers little-endian, fixed offsets (</w:t>
      </w:r>
      <w:r>
        <w:rPr>
          <w:rFonts w:ascii="Consolas" w:hAnsi="Consolas"/>
          <w:color w:val="8B2F2F"/>
          <w:sz w:val="19"/>
        </w:rPr>
        <w:t>FrameFormat.cs</w:t>
      </w:r>
      <w:r>
        <w:t xml:space="preserve">). Every frame ends with </w:t>
      </w:r>
      <w:r>
        <w:rPr>
          <w:b/>
        </w:rPr>
        <w:t>CRC-32 over all preceding bytes</w:t>
      </w:r>
      <w:r>
        <w:t>. Hard parser bounds: 17 ≤ frame ≤ 4096 bytes.</w:t>
      </w:r>
    </w:p>
    <w:p>
      <w:r>
        <w:rPr>
          <w:b/>
        </w:rPr>
        <w:t>Common header — 12 bytes: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Offset</w:t>
            </w:r>
          </w:p>
        </w:tc>
        <w:tc>
          <w:tcPr>
            <w:tcW w:type="dxa" w:w="2412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Size</w:t>
            </w:r>
          </w:p>
        </w:tc>
        <w:tc>
          <w:tcPr>
            <w:tcW w:type="dxa" w:w="2412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412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7"/>
              </w:rPr>
              <w:t>Magic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8B2F2F"/>
                <w:sz w:val="15"/>
              </w:rPr>
              <w:t>0x4F 0x44</w:t>
            </w:r>
            <w:r>
              <w:rPr>
                <w:sz w:val="17"/>
              </w:rPr>
              <w:t xml:space="preserve"> ("OD")</w:t>
            </w:r>
          </w:p>
        </w:tc>
      </w:tr>
      <w:tr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Protocol version</w:t>
            </w:r>
          </w:p>
        </w:tc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8B2F2F"/>
                <w:sz w:val="15"/>
              </w:rPr>
              <w:t>0x01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7"/>
              </w:rPr>
              <w:t>Frame type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8B2F2F"/>
                <w:sz w:val="15"/>
              </w:rPr>
              <w:t>0x01</w:t>
            </w:r>
            <w:r>
              <w:rPr>
                <w:sz w:val="17"/>
              </w:rPr>
              <w:t xml:space="preserve"> manifest / </w:t>
            </w:r>
            <w:r>
              <w:rPr>
                <w:rFonts w:ascii="Consolas" w:hAnsi="Consolas"/>
                <w:color w:val="8B2F2F"/>
                <w:sz w:val="15"/>
              </w:rPr>
              <w:t>0x02</w:t>
            </w:r>
            <w:r>
              <w:rPr>
                <w:sz w:val="17"/>
              </w:rPr>
              <w:t xml:space="preserve"> data symbol</w:t>
            </w:r>
          </w:p>
        </w:tc>
      </w:tr>
      <w:tr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Session tag</w:t>
            </w:r>
          </w:p>
        </w:tc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First 8 bytes of the session GUID</w:t>
            </w:r>
          </w:p>
        </w:tc>
      </w:tr>
    </w:tbl>
    <w:p/>
    <w:p>
      <w:r>
        <w:rPr>
          <w:b/>
        </w:rPr>
        <w:t>Data-symbol frame</w:t>
      </w:r>
      <w:r>
        <w:t xml:space="preserve"> (</w:t>
      </w:r>
      <w:r>
        <w:rPr>
          <w:rFonts w:ascii="Consolas" w:hAnsi="Consolas"/>
          <w:color w:val="8B2F2F"/>
          <w:sz w:val="19"/>
        </w:rPr>
        <w:t>header + 4 + symbolSize + 4</w:t>
      </w:r>
      <w:r>
        <w:t xml:space="preserve"> bytes):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Offset</w:t>
            </w:r>
          </w:p>
        </w:tc>
        <w:tc>
          <w:tcPr>
            <w:tcW w:type="dxa" w:w="321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Size</w:t>
            </w:r>
          </w:p>
        </w:tc>
        <w:tc>
          <w:tcPr>
            <w:tcW w:type="dxa" w:w="321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8B2F2F"/>
                <w:sz w:val="15"/>
              </w:rPr>
              <w:t>symbolId</w:t>
            </w:r>
            <w:r>
              <w:rPr>
                <w:sz w:val="17"/>
              </w:rPr>
              <w:t xml:space="preserve"> (uint32 LE)</w:t>
            </w:r>
          </w:p>
        </w:tc>
      </w:tr>
      <w:tr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symbolSize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LT symbol payload (default symbolSize = min(1350, ciphertext length))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end−4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CRC-32</w:t>
            </w:r>
          </w:p>
        </w:tc>
      </w:tr>
    </w:tbl>
    <w:p/>
    <w:p>
      <w:r>
        <w:rPr>
          <w:b/>
        </w:rPr>
        <w:t>Manifest frame</w:t>
      </w:r>
      <w:r>
        <w:t xml:space="preserve"> (</w:t>
      </w:r>
      <w:r>
        <w:rPr>
          <w:rFonts w:ascii="Consolas" w:hAnsi="Consolas"/>
          <w:color w:val="8B2F2F"/>
          <w:sz w:val="19"/>
        </w:rPr>
        <w:t>header + 2 + bodyLen + 64 + 4</w:t>
      </w:r>
      <w:r>
        <w:t xml:space="preserve"> bytes): 12-byte header, </w:t>
      </w:r>
      <w:r>
        <w:rPr>
          <w:rFonts w:ascii="Consolas" w:hAnsi="Consolas"/>
          <w:color w:val="8B2F2F"/>
          <w:sz w:val="19"/>
        </w:rPr>
        <w:t>bodyLen</w:t>
      </w:r>
      <w:r>
        <w:t xml:space="preserve"> (uint16), manifest body, </w:t>
      </w:r>
      <w:r>
        <w:rPr>
          <w:b/>
        </w:rPr>
        <w:t>ECDSA P-256 signature (64 bytes, IEEE P1363 r‖s)</w:t>
      </w:r>
      <w:r>
        <w:t xml:space="preserve">, CRC-32. The parser enforces </w:t>
      </w:r>
      <w:r>
        <w:rPr>
          <w:rFonts w:ascii="Consolas" w:hAnsi="Consolas"/>
          <w:color w:val="8B2F2F"/>
          <w:sz w:val="19"/>
        </w:rPr>
        <w:t>frame.Length == 82 + bodyLen</w:t>
      </w:r>
      <w:r>
        <w:t xml:space="preserve"> exactly (</w:t>
      </w:r>
      <w:r>
        <w:rPr>
          <w:rFonts w:ascii="Consolas" w:hAnsi="Consolas"/>
          <w:color w:val="8B2F2F"/>
          <w:sz w:val="19"/>
        </w:rPr>
        <w:t>FrameParser.cs:76-78</w:t>
      </w:r>
      <w:r>
        <w:t>).</w:t>
      </w:r>
    </w:p>
    <w:p>
      <w:r>
        <w:rPr>
          <w:b/>
        </w:rPr>
        <w:t>Manifest body — fixed 199-byte prefix + variable filename</w:t>
      </w:r>
      <w:r>
        <w:t xml:space="preserve"> (</w:t>
      </w:r>
      <w:r>
        <w:rPr>
          <w:rFonts w:ascii="Consolas" w:hAnsi="Consolas"/>
          <w:color w:val="8B2F2F"/>
          <w:sz w:val="19"/>
        </w:rPr>
        <w:t>TransferManifest.Serialize</w:t>
      </w:r>
      <w:r>
        <w:t xml:space="preserve">, </w:t>
      </w:r>
      <w:r>
        <w:rPr>
          <w:rFonts w:ascii="Consolas" w:hAnsi="Consolas"/>
          <w:color w:val="8B2F2F"/>
          <w:sz w:val="19"/>
        </w:rPr>
        <w:t>TransferManifest.cs:52-82</w:t>
      </w:r>
      <w:r>
        <w:t>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Offset</w:t>
            </w:r>
          </w:p>
        </w:tc>
        <w:tc>
          <w:tcPr>
            <w:tcW w:type="dxa" w:w="321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Size</w:t>
            </w:r>
          </w:p>
        </w:tc>
        <w:tc>
          <w:tcPr>
            <w:tcW w:type="dxa" w:w="321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Session GUID</w:t>
            </w:r>
          </w:p>
        </w:tc>
      </w:tr>
      <w:tr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Timestamp (Unix ms, int64)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24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Per-sender-key monotonic counter (uint64)</w:t>
            </w:r>
          </w:p>
        </w:tc>
      </w:tr>
      <w:tr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32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Sender signing key ID = SHA-256(SPKI)[0..8)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Receiver key-agreement key ID (pins intended recipient)</w:t>
            </w:r>
          </w:p>
        </w:tc>
      </w:tr>
      <w:tr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48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32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HKDF salt (CSPRNG)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80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AES-GCM nonce (CSPRNG)</w:t>
            </w:r>
          </w:p>
        </w:tc>
      </w:tr>
      <w:tr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92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Symbol size (uint16)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94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K — source symbol count (uint32)</w:t>
            </w:r>
          </w:p>
        </w:tc>
      </w:tr>
      <w:tr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98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LT session seed (uint64, CSPRNG)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106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Redundancy hint</w:t>
            </w:r>
          </w:p>
        </w:tc>
      </w:tr>
      <w:tr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108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Original (plaintext) size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116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Compressed size</w:t>
            </w:r>
          </w:p>
        </w:tc>
      </w:tr>
      <w:tr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124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Ciphertext size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132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Compression algorithm (0 none / 1 Brotli)</w:t>
            </w:r>
          </w:p>
        </w:tc>
      </w:tr>
      <w:tr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133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32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SHA-256 of ciphertext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165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32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SHA-256 of plaintext</w:t>
            </w:r>
          </w:p>
        </w:tc>
      </w:tr>
      <w:tr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197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Content kind (0 file / 1 XML / 2 JSON)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198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Filename length</w:t>
            </w:r>
          </w:p>
        </w:tc>
      </w:tr>
      <w:tr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199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≤255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Filename (UTF-8)</w:t>
            </w:r>
          </w:p>
        </w:tc>
      </w:tr>
    </w:tbl>
    <w:p/>
    <w:p>
      <w:r>
        <w:t xml:space="preserve">The signature covers the manifest body exactly as received; the manifest carries the ciphertext hash; the GCM AAD reconstructs the session identity from the signed manifest. This creates a </w:t>
      </w:r>
      <w:r>
        <w:rPr>
          <w:b/>
        </w:rPr>
        <w:t>non-circular bidirectional binding</w:t>
      </w:r>
      <w:r>
        <w:t>: a foreign manifest cannot be paired with a substituted ciphertext or vice versa.</w:t>
      </w:r>
    </w:p>
    <w:p>
      <w:pPr>
        <w:pStyle w:val="Heading2"/>
      </w:pPr>
      <w:r>
        <w:rPr>
          <w:color w:val="1F3A5F"/>
        </w:rPr>
        <w:t>3.2 Sender pipeline (</w:t>
      </w:r>
      <w:r>
        <w:rPr>
          <w:rFonts w:ascii="Consolas" w:hAnsi="Consolas"/>
          <w:color w:val="1F3A5F"/>
          <w:sz w:val="19"/>
        </w:rPr>
        <w:t>SendSession.Create</w:t>
      </w:r>
      <w:r>
        <w:rPr>
          <w:color w:val="1F3A5F"/>
        </w:rPr>
        <w:t xml:space="preserve">, </w:t>
      </w:r>
      <w:r>
        <w:rPr>
          <w:rFonts w:ascii="Consolas" w:hAnsi="Consolas"/>
          <w:color w:val="1F3A5F"/>
          <w:sz w:val="19"/>
        </w:rPr>
        <w:t>SendSession.cs:50-126</w:t>
      </w:r>
      <w:r>
        <w:rPr>
          <w:color w:val="1F3A5F"/>
        </w:rPr>
        <w:t>)</w:t>
      </w:r>
    </w:p>
    <w:p>
      <w:pPr>
        <w:pStyle w:val="ListNumber"/>
      </w:pPr>
      <w:r>
        <w:rPr>
          <w:rFonts w:ascii="Consolas" w:hAnsi="Consolas"/>
          <w:color w:val="8B2F2F"/>
          <w:sz w:val="19"/>
        </w:rPr>
        <w:t>SHA-256(plaintext)</w:t>
      </w:r>
      <w:r>
        <w:t xml:space="preserve"> computed first.</w:t>
      </w:r>
    </w:p>
    <w:p>
      <w:pPr>
        <w:pStyle w:val="ListNumber"/>
      </w:pPr>
      <w:r>
        <w:rPr>
          <w:b/>
        </w:rPr>
        <w:t>Brotli compress</w:t>
      </w:r>
      <w:r>
        <w:t xml:space="preserve"> (</w:t>
      </w:r>
      <w:r>
        <w:rPr>
          <w:rFonts w:ascii="Consolas" w:hAnsi="Consolas"/>
          <w:color w:val="8B2F2F"/>
          <w:sz w:val="19"/>
        </w:rPr>
        <w:t>SmallestSize</w:t>
      </w:r>
      <w:r>
        <w:t xml:space="preserve"> ≤ 4 MB, else </w:t>
      </w:r>
      <w:r>
        <w:rPr>
          <w:rFonts w:ascii="Consolas" w:hAnsi="Consolas"/>
          <w:color w:val="8B2F2F"/>
          <w:sz w:val="19"/>
        </w:rPr>
        <w:t>Optimal</w:t>
      </w:r>
      <w:r>
        <w:t>); the smaller of raw/compressed is kept and the choice recorded in the manifest.</w:t>
      </w:r>
    </w:p>
    <w:p>
      <w:pPr>
        <w:pStyle w:val="ListNumber"/>
      </w:pPr>
      <w:r>
        <w:rPr>
          <w:b/>
        </w:rPr>
        <w:t>Counter reservation before session creation</w:t>
      </w:r>
      <w:r>
        <w:t xml:space="preserve">: </w:t>
      </w:r>
      <w:r>
        <w:rPr>
          <w:rFonts w:ascii="Consolas" w:hAnsi="Consolas"/>
          <w:color w:val="8B2F2F"/>
          <w:sz w:val="19"/>
        </w:rPr>
        <w:t>CounterStore.Next()</w:t>
      </w:r>
      <w:r>
        <w:t xml:space="preserve"> increments and </w:t>
      </w:r>
      <w:r>
        <w:rPr>
          <w:b/>
        </w:rPr>
        <w:t>durably flushes (write-temp + fsync + atomic rename) before the value is used</w:t>
      </w:r>
      <w:r>
        <w:t xml:space="preserve"> (</w:t>
      </w:r>
      <w:r>
        <w:rPr>
          <w:rFonts w:ascii="Consolas" w:hAnsi="Consolas"/>
          <w:color w:val="8B2F2F"/>
          <w:sz w:val="19"/>
        </w:rPr>
        <w:t>CounterStore.cs:26-35, 57-64</w:t>
      </w:r>
      <w:r>
        <w:t>), DPAPI-protected at rest — a crash can never issue the same counter twice.</w:t>
      </w:r>
    </w:p>
    <w:p>
      <w:pPr>
        <w:pStyle w:val="ListNumber"/>
      </w:pPr>
      <w:r>
        <w:t>Fresh CSPRNG material: session GUID, 32-byte HKDF salt, 12-byte GCM nonce, 8-byte LT seed (</w:t>
      </w:r>
      <w:r>
        <w:rPr>
          <w:rFonts w:ascii="Consolas" w:hAnsi="Consolas"/>
          <w:color w:val="8B2F2F"/>
          <w:sz w:val="19"/>
        </w:rPr>
        <w:t>RandomNumberGenerator</w:t>
      </w:r>
      <w:r>
        <w:t>).</w:t>
      </w:r>
    </w:p>
    <w:p>
      <w:pPr>
        <w:pStyle w:val="ListNumber"/>
      </w:pPr>
      <w:r>
        <w:rPr>
          <w:b/>
        </w:rPr>
        <w:t>AAD</w:t>
      </w:r>
      <w:r>
        <w:t xml:space="preserve"> = </w:t>
      </w:r>
      <w:r>
        <w:rPr>
          <w:rFonts w:ascii="Consolas" w:hAnsi="Consolas"/>
          <w:color w:val="8B2F2F"/>
          <w:sz w:val="19"/>
        </w:rPr>
        <w:t>sessionGuid(16) ‖ salt(32) ‖ counter(8, LE) ‖ senderSigKeyId(8) ‖ receiverKexKeyId(8)</w:t>
      </w:r>
      <w:r>
        <w:t xml:space="preserve"> — 72 bytes (</w:t>
      </w:r>
      <w:r>
        <w:rPr>
          <w:rFonts w:ascii="Consolas" w:hAnsi="Consolas"/>
          <w:color w:val="8B2F2F"/>
          <w:sz w:val="19"/>
        </w:rPr>
        <w:t>Envelope.BuildAad</w:t>
      </w:r>
      <w:r>
        <w:t>).</w:t>
      </w:r>
    </w:p>
    <w:p>
      <w:pPr>
        <w:pStyle w:val="ListNumber"/>
      </w:pPr>
      <w:r>
        <w:rPr>
          <w:b/>
        </w:rPr>
        <w:t>Key derivation</w:t>
      </w:r>
      <w:r>
        <w:t xml:space="preserve">: raw ECDH P-256 shared secret (sender static private × receiver static public) → </w:t>
      </w:r>
      <w:r>
        <w:rPr>
          <w:rFonts w:ascii="Consolas" w:hAnsi="Consolas"/>
          <w:color w:val="8B2F2F"/>
          <w:sz w:val="19"/>
        </w:rPr>
        <w:t>HKDF-SHA256(ikm=Z, salt=salt32, info="QrDiode.v1"‖sessionGuid, L=32)</w:t>
      </w:r>
      <w:r>
        <w:t xml:space="preserve">. The shared secret is zeroized in a </w:t>
      </w:r>
      <w:r>
        <w:rPr>
          <w:rFonts w:ascii="Consolas" w:hAnsi="Consolas"/>
          <w:color w:val="8B2F2F"/>
          <w:sz w:val="19"/>
        </w:rPr>
        <w:t>finally</w:t>
      </w:r>
      <w:r>
        <w:t xml:space="preserve"> block (</w:t>
      </w:r>
      <w:r>
        <w:rPr>
          <w:rFonts w:ascii="Consolas" w:hAnsi="Consolas"/>
          <w:color w:val="8B2F2F"/>
          <w:sz w:val="19"/>
        </w:rPr>
        <w:t>Envelope.cs:35-50</w:t>
      </w:r>
      <w:r>
        <w:t>); the derived key is zeroized after seal (</w:t>
      </w:r>
      <w:r>
        <w:rPr>
          <w:rFonts w:ascii="Consolas" w:hAnsi="Consolas"/>
          <w:color w:val="8B2F2F"/>
          <w:sz w:val="19"/>
        </w:rPr>
        <w:t>SendSession.cs:84-91</w:t>
      </w:r>
      <w:r>
        <w:t>).</w:t>
      </w:r>
    </w:p>
    <w:p>
      <w:pPr>
        <w:pStyle w:val="ListNumber"/>
      </w:pPr>
      <w:r>
        <w:rPr>
          <w:b/>
        </w:rPr>
        <w:t>AES-256-GCM</w:t>
      </w:r>
      <w:r>
        <w:t xml:space="preserve"> one-shot encrypt with explicit 16-byte tag (</w:t>
      </w:r>
      <w:r>
        <w:rPr>
          <w:rFonts w:ascii="Consolas" w:hAnsi="Consolas"/>
          <w:color w:val="8B2F2F"/>
          <w:sz w:val="19"/>
        </w:rPr>
        <w:t>AesGcm(key, 16)</w:t>
      </w:r>
      <w:r>
        <w:t xml:space="preserve">), output </w:t>
      </w:r>
      <w:r>
        <w:rPr>
          <w:rFonts w:ascii="Consolas" w:hAnsi="Consolas"/>
          <w:color w:val="8B2F2F"/>
          <w:sz w:val="19"/>
        </w:rPr>
        <w:t>ciphertext ‖ tag</w:t>
      </w:r>
      <w:r>
        <w:t>.</w:t>
      </w:r>
    </w:p>
    <w:p>
      <w:pPr>
        <w:pStyle w:val="ListNumber"/>
      </w:pPr>
      <w:r>
        <w:t xml:space="preserve">Manifest assembled (including </w:t>
      </w:r>
      <w:r>
        <w:rPr>
          <w:rFonts w:ascii="Consolas" w:hAnsi="Consolas"/>
          <w:color w:val="8B2F2F"/>
          <w:sz w:val="19"/>
        </w:rPr>
        <w:t>SHA-256(ciphertext)</w:t>
      </w:r>
      <w:r>
        <w:t xml:space="preserve">), serialized, </w:t>
      </w:r>
      <w:r>
        <w:rPr>
          <w:b/>
        </w:rPr>
        <w:t>ECDSA-P-256/SHA-256 signed</w:t>
      </w:r>
      <w:r>
        <w:t xml:space="preserve">; frame written; receipt hash = first 8 bytes of </w:t>
      </w:r>
      <w:r>
        <w:rPr>
          <w:rFonts w:ascii="Consolas" w:hAnsi="Consolas"/>
          <w:color w:val="8B2F2F"/>
          <w:sz w:val="19"/>
        </w:rPr>
        <w:t>SHA-256(body ‖ signature)</w:t>
      </w:r>
      <w:r>
        <w:t xml:space="preserve"> shown to the operator for out-of-band comparison.</w:t>
      </w:r>
    </w:p>
    <w:p>
      <w:pPr>
        <w:pStyle w:val="ListNumber"/>
      </w:pPr>
      <w:r>
        <w:rPr>
          <w:b/>
        </w:rPr>
        <w:t>LT encoder</w:t>
      </w:r>
      <w:r>
        <w:t xml:space="preserve"> instantiated over the ciphertext. Note the </w:t>
      </w:r>
      <w:r>
        <w:rPr>
          <w:i/>
        </w:rPr>
        <w:t>ciphertext</w:t>
      </w:r>
      <w:r>
        <w:t xml:space="preserve"> is fountain-coded — filming the screen yields ciphertext only.</w:t>
      </w:r>
    </w:p>
    <w:p>
      <w:pPr>
        <w:pStyle w:val="Heading2"/>
      </w:pPr>
      <w:r>
        <w:rPr>
          <w:color w:val="1F3A5F"/>
        </w:rPr>
        <w:t>3.3 The carousel (</w:t>
      </w:r>
      <w:r>
        <w:rPr>
          <w:rFonts w:ascii="Consolas" w:hAnsi="Consolas"/>
          <w:color w:val="1F3A5F"/>
          <w:sz w:val="19"/>
        </w:rPr>
        <w:t>SendSession.Carousel</w:t>
      </w:r>
      <w:r>
        <w:rPr>
          <w:color w:val="1F3A5F"/>
        </w:rPr>
        <w:t xml:space="preserve">, </w:t>
      </w:r>
      <w:r>
        <w:rPr>
          <w:rFonts w:ascii="Consolas" w:hAnsi="Consolas"/>
          <w:color w:val="1F3A5F"/>
          <w:sz w:val="19"/>
        </w:rPr>
        <w:t>SendSession.cs:141-161</w:t>
      </w:r>
      <w:r>
        <w:rPr>
          <w:color w:val="1F3A5F"/>
        </w:rPr>
        <w:t>)</w:t>
      </w:r>
    </w:p>
    <w:p>
      <w:r>
        <w:t xml:space="preserve">Because there is no acknowledgement, sessions end on an </w:t>
      </w:r>
      <w:r>
        <w:rPr>
          <w:b/>
        </w:rPr>
        <w:t>air-time policy</w:t>
      </w:r>
      <w:r>
        <w:t>, not on success:</w:t>
      </w:r>
    </w:p>
    <w:p>
      <w:pPr>
        <w:pStyle w:val="ListBullet"/>
      </w:pPr>
      <w:r>
        <w:t>The manifest frame is emitted first and re-emitted every 20 frames (late-joiner acquisition ≤ ~1 s at 15 fps).</w:t>
      </w:r>
    </w:p>
    <w:p>
      <w:pPr>
        <w:pStyle w:val="ListBullet"/>
      </w:pPr>
      <w:r>
        <w:t xml:space="preserve">Each loop emits </w:t>
      </w:r>
      <w:r>
        <w:rPr>
          <w:rFonts w:ascii="Consolas" w:hAnsi="Consolas"/>
          <w:color w:val="8B2F2F"/>
          <w:sz w:val="19"/>
        </w:rPr>
        <w:t>Redundancy × K</w:t>
      </w:r>
      <w:r>
        <w:t xml:space="preserve"> data frames (default 3×K): first a </w:t>
      </w:r>
      <w:r>
        <w:rPr>
          <w:b/>
        </w:rPr>
        <w:t>systematic pass</w:t>
      </w:r>
      <w:r>
        <w:t xml:space="preserve"> (</w:t>
      </w:r>
      <w:r>
        <w:rPr>
          <w:rFonts w:ascii="Consolas" w:hAnsi="Consolas"/>
          <w:color w:val="8B2F2F"/>
          <w:sz w:val="19"/>
        </w:rPr>
        <w:t>symbolId 0..K−1</w:t>
      </w:r>
      <w:r>
        <w:t xml:space="preserve"> — the ciphertext blocks verbatim), then fresh coded symbols whose IDs </w:t>
      </w:r>
      <w:r>
        <w:rPr>
          <w:b/>
        </w:rPr>
        <w:t>keep increasing across loops</w:t>
      </w:r>
      <w:r>
        <w:t xml:space="preserve"> so every loop contributes new equations to the decoder.</w:t>
      </w:r>
    </w:p>
    <w:p>
      <w:pPr>
        <w:pStyle w:val="ListBullet"/>
      </w:pPr>
      <w:r>
        <w:t xml:space="preserve">The session leaves the air when </w:t>
      </w:r>
      <w:r>
        <w:rPr>
          <w:i/>
        </w:rPr>
        <w:t>both</w:t>
      </w:r>
      <w:r>
        <w:t xml:space="preserve"> </w:t>
      </w:r>
      <w:r>
        <w:rPr>
          <w:rFonts w:ascii="Consolas" w:hAnsi="Consolas"/>
          <w:color w:val="8B2F2F"/>
          <w:sz w:val="19"/>
        </w:rPr>
        <w:t>loops ≥ LoopTarget (3)</w:t>
      </w:r>
      <w:r>
        <w:t xml:space="preserve">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color w:val="8B2F2F"/>
          <w:sz w:val="19"/>
        </w:rPr>
        <w:t>airtime ≥ 6 s</w:t>
      </w:r>
      <w:r>
        <w:t xml:space="preserve"> (</w:t>
      </w:r>
      <w:r>
        <w:rPr>
          <w:rFonts w:ascii="Consolas" w:hAnsi="Consolas"/>
          <w:color w:val="8B2F2F"/>
          <w:sz w:val="19"/>
        </w:rPr>
        <w:t>TransmitEngine.PumpFrame</w:t>
      </w:r>
      <w:r>
        <w:t>), then a 1.5 s dark gap lets the receiver finalize before the next manifest appears.</w:t>
      </w:r>
    </w:p>
    <w:p>
      <w:r>
        <w:t>Frames are rendered as fixed-version QR (smallest version fitting the frame, ECC level L, 8-module quiet zone, 1 byte/pixel Gray8) by a ring-buffered producer thread so the UI thread only blits (</w:t>
      </w:r>
      <w:r>
        <w:rPr>
          <w:rFonts w:ascii="Consolas" w:hAnsi="Consolas"/>
          <w:color w:val="8B2F2F"/>
          <w:sz w:val="19"/>
        </w:rPr>
        <w:t>QrFrameRenderer.cs</w:t>
      </w:r>
      <w:r>
        <w:t xml:space="preserve">, </w:t>
      </w:r>
      <w:r>
        <w:rPr>
          <w:rFonts w:ascii="Consolas" w:hAnsi="Consolas"/>
          <w:color w:val="8B2F2F"/>
          <w:sz w:val="19"/>
        </w:rPr>
        <w:t>CarouselPump.cs</w:t>
      </w:r>
      <w:r>
        <w:t>).</w:t>
      </w:r>
    </w:p>
    <w:p>
      <w:pPr>
        <w:pStyle w:val="Heading2"/>
      </w:pPr>
      <w:r>
        <w:rPr>
          <w:color w:val="1F3A5F"/>
        </w:rPr>
        <w:t>3.4 Receiver chain — strict order, fail-closed (</w:t>
      </w:r>
      <w:r>
        <w:rPr>
          <w:rFonts w:ascii="Consolas" w:hAnsi="Consolas"/>
          <w:color w:val="1F3A5F"/>
          <w:sz w:val="19"/>
        </w:rPr>
        <w:t>ReceiveEngine.cs</w:t>
      </w:r>
      <w:r>
        <w:rPr>
          <w:color w:val="1F3A5F"/>
        </w:rPr>
        <w:t>)</w:t>
      </w:r>
    </w:p>
    <w:p>
      <w:r>
        <w:t xml:space="preserve">Camera frames (FlashCap) are converted to a luminance plane (manual bounds-checked DIB parse, or WIC decode for MJPEG/PNG modes — </w:t>
      </w:r>
      <w:r>
        <w:rPr>
          <w:rFonts w:ascii="Consolas" w:hAnsi="Consolas"/>
          <w:color w:val="8B2F2F"/>
          <w:sz w:val="19"/>
        </w:rPr>
        <w:t>QrDecodePipeline.cs:123-207</w:t>
      </w:r>
      <w:r>
        <w:t xml:space="preserve">) and passed to native zxing-cpp. Every decoded QR payload enters </w:t>
      </w:r>
      <w:r>
        <w:rPr>
          <w:rFonts w:ascii="Consolas" w:hAnsi="Consolas"/>
          <w:color w:val="8B2F2F"/>
          <w:sz w:val="19"/>
        </w:rPr>
        <w:t>ReceiveEngine.Feed</w:t>
      </w:r>
      <w:r>
        <w:t xml:space="preserve"> under a lock. The chain, with nothing later running until the earlier step passes: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12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2412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Implementation</w:t>
            </w:r>
          </w:p>
        </w:tc>
        <w:tc>
          <w:tcPr>
            <w:tcW w:type="dxa" w:w="2412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On failure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7"/>
              </w:rPr>
              <w:t xml:space="preserve">Structural parse + </w:t>
            </w:r>
            <w:r>
              <w:rPr>
                <w:b/>
                <w:sz w:val="17"/>
              </w:rPr>
              <w:t>CRC-32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8B2F2F"/>
                <w:sz w:val="15"/>
              </w:rPr>
              <w:t>FrameParser.TryParse</w:t>
            </w:r>
            <w:r>
              <w:rPr>
                <w:sz w:val="17"/>
              </w:rPr>
              <w:t xml:space="preserve"> — span-based, every length checked before any read, allocation-free and exception-free on reject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7"/>
              </w:rPr>
              <w:t>Silently ignored (noise/misdecode)</w:t>
            </w:r>
          </w:p>
        </w:tc>
      </w:tr>
      <w:tr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 xml:space="preserve">Manifest structural parse + </w:t>
            </w:r>
            <w:r>
              <w:rPr>
                <w:b/>
                <w:sz w:val="17"/>
              </w:rPr>
              <w:t>sanity bounds</w:t>
            </w:r>
          </w:p>
        </w:tc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 xml:space="preserve">sizes ∈ (0, 128 MB], </w:t>
            </w:r>
            <w:r>
              <w:rPr>
                <w:rFonts w:ascii="Consolas" w:hAnsi="Consolas"/>
                <w:color w:val="8B2F2F"/>
                <w:sz w:val="15"/>
              </w:rPr>
              <w:t>ciphertextSize == compressedSize + 16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B2F2F"/>
                <w:sz w:val="15"/>
              </w:rPr>
              <w:t>K == ceil(ciphertextSize/symbolSize)</w:t>
            </w:r>
            <w:r>
              <w:rPr>
                <w:sz w:val="17"/>
              </w:rPr>
              <w:t>, compression/content enums valid (</w:t>
            </w:r>
            <w:r>
              <w:rPr>
                <w:rFonts w:ascii="Consolas" w:hAnsi="Consolas"/>
                <w:color w:val="8B2F2F"/>
                <w:sz w:val="15"/>
              </w:rPr>
              <w:t>TransferManifest.cs:107-116</w:t>
            </w:r>
            <w:r>
              <w:rPr>
                <w:sz w:val="17"/>
              </w:rPr>
              <w:t>)</w:t>
            </w:r>
          </w:p>
        </w:tc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Rejected + audited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ECDSA signature</w:t>
            </w:r>
            <w:r>
              <w:rPr>
                <w:sz w:val="17"/>
              </w:rPr>
              <w:t xml:space="preserve"> over the exact received body bytes, sender key ID must resolve in the trust store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8B2F2F"/>
                <w:sz w:val="15"/>
              </w:rPr>
              <w:t>ReceiveEngine.cs:129-133</w:t>
            </w:r>
            <w:r>
              <w:rPr>
                <w:sz w:val="17"/>
              </w:rPr>
              <w:t xml:space="preserve"> — unknown key → dropped </w:t>
            </w:r>
            <w:r>
              <w:rPr>
                <w:b/>
                <w:sz w:val="17"/>
              </w:rPr>
              <w:t>before any payload byte is interpreted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7"/>
              </w:rPr>
              <w:t>Rejected + audited</w:t>
            </w:r>
          </w:p>
        </w:tc>
      </w:tr>
      <w:tr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Addressing</w:t>
            </w:r>
            <w:r>
              <w:rPr>
                <w:sz w:val="17"/>
              </w:rPr>
              <w:t xml:space="preserve"> — manifest's receiver key ID must equal this receiver's key-agreement key ID</w:t>
            </w:r>
          </w:p>
        </w:tc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8B2F2F"/>
                <w:sz w:val="15"/>
              </w:rPr>
              <w:t>ReceiveEngine.cs:136-137</w:t>
            </w:r>
          </w:p>
        </w:tc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Rejected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Anti-replay</w:t>
            </w:r>
            <w:r>
              <w:rPr>
                <w:sz w:val="17"/>
              </w:rPr>
              <w:t xml:space="preserve"> — unseen session GUID ∧ counter &gt; per-sender-key high-watermark ∧ timestamp within window (48 h default; 15 min in Strict mode)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8B2F2F"/>
                <w:sz w:val="15"/>
              </w:rPr>
              <w:t>SqliteJournal.Check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8B2F2F"/>
                <w:sz w:val="15"/>
              </w:rPr>
              <w:t>SqliteJournal.cs:81-104</w:t>
            </w:r>
            <w:r>
              <w:rPr>
                <w:sz w:val="17"/>
              </w:rPr>
              <w:t>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7"/>
              </w:rPr>
              <w:t>Rejected + session settled</w:t>
            </w:r>
          </w:p>
        </w:tc>
      </w:tr>
      <w:tr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 xml:space="preserve">LT decode completes → </w:t>
            </w:r>
            <w:r>
              <w:rPr>
                <w:b/>
                <w:sz w:val="17"/>
              </w:rPr>
              <w:t>SHA-256(ciphertext) equals the signed hash</w:t>
            </w:r>
          </w:p>
        </w:tc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8B2F2F"/>
                <w:sz w:val="15"/>
              </w:rPr>
              <w:t>ReceiveEngine.cs:185</w:t>
            </w:r>
          </w:p>
        </w:tc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Session poisoned → reset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AES-256-GCM open</w:t>
            </w:r>
            <w:r>
              <w:rPr>
                <w:sz w:val="17"/>
              </w:rPr>
              <w:t xml:space="preserve"> with AAD rebuilt from the signed manifest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8B2F2F"/>
                <w:sz w:val="15"/>
              </w:rPr>
              <w:t>ReceiveEngine.cs:189-206</w:t>
            </w:r>
            <w:r>
              <w:rPr>
                <w:sz w:val="17"/>
              </w:rPr>
              <w:t xml:space="preserve">; derived key zeroized in </w:t>
            </w:r>
            <w:r>
              <w:rPr>
                <w:rFonts w:ascii="Consolas" w:hAnsi="Consolas"/>
                <w:color w:val="8B2F2F"/>
                <w:sz w:val="15"/>
              </w:rPr>
              <w:t>finally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7"/>
              </w:rPr>
              <w:t>Rejected</w:t>
            </w:r>
          </w:p>
        </w:tc>
      </w:tr>
      <w:tr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Decompression cap</w:t>
            </w:r>
            <w:r>
              <w:rPr>
                <w:sz w:val="17"/>
              </w:rPr>
              <w:t xml:space="preserve"> — Brotli output hard-capped at the signed original size; any trailing byte beyond it fails closed (zip-bomb guard)</w:t>
            </w:r>
          </w:p>
        </w:tc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8B2F2F"/>
                <w:sz w:val="15"/>
              </w:rPr>
              <w:t>TryDecompressBrotli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B2F2F"/>
                <w:sz w:val="15"/>
              </w:rPr>
              <w:t>ReceiveEngine.cs:241-266</w:t>
            </w:r>
          </w:p>
        </w:tc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Rejected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SHA-256(plaintext) equals the signed hash</w:t>
            </w:r>
            <w:r>
              <w:rPr>
                <w:sz w:val="17"/>
              </w:rPr>
              <w:t xml:space="preserve"> (and exact length)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8B2F2F"/>
                <w:sz w:val="15"/>
              </w:rPr>
              <w:t>ReceiveEngine.cs:221-223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7"/>
              </w:rPr>
              <w:t>Rejected</w:t>
            </w:r>
          </w:p>
        </w:tc>
      </w:tr>
      <w:tr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Content gate</w:t>
            </w:r>
            <w:r>
              <w:rPr>
                <w:sz w:val="17"/>
              </w:rPr>
              <w:t xml:space="preserve"> — XML: </w:t>
            </w:r>
            <w:r>
              <w:rPr>
                <w:rFonts w:ascii="Consolas" w:hAnsi="Consolas"/>
                <w:color w:val="8B2F2F"/>
                <w:sz w:val="15"/>
              </w:rPr>
              <w:t>DtdProcessing.Prohibit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B2F2F"/>
                <w:sz w:val="15"/>
              </w:rPr>
              <w:t>XmlResolver = null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B2F2F"/>
                <w:sz w:val="15"/>
              </w:rPr>
              <w:t>MaxCharactersFromEntities = 0</w:t>
            </w:r>
            <w:r>
              <w:rPr>
                <w:sz w:val="17"/>
              </w:rPr>
              <w:t xml:space="preserve">, depth ≤ 64; JSON: </w:t>
            </w:r>
            <w:r>
              <w:rPr>
                <w:rFonts w:ascii="Consolas" w:hAnsi="Consolas"/>
                <w:color w:val="8B2F2F"/>
                <w:sz w:val="15"/>
              </w:rPr>
              <w:t>Utf8JsonReader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B2F2F"/>
                <w:sz w:val="15"/>
              </w:rPr>
              <w:t>MaxDepth = 64</w:t>
            </w:r>
            <w:r>
              <w:rPr>
                <w:sz w:val="17"/>
              </w:rPr>
              <w:t>, no comments/trailing commas; opaque files uninterpreted (</w:t>
            </w:r>
            <w:r>
              <w:rPr>
                <w:rFonts w:ascii="Consolas" w:hAnsi="Consolas"/>
                <w:color w:val="8B2F2F"/>
                <w:sz w:val="15"/>
              </w:rPr>
              <w:t>ContentGate.cs</w:t>
            </w:r>
            <w:r>
              <w:rPr>
                <w:sz w:val="17"/>
              </w:rPr>
              <w:t>)</w:t>
            </w:r>
          </w:p>
        </w:tc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Rejected</w:t>
            </w:r>
          </w:p>
        </w:tc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Anti-replay commit</w:t>
            </w:r>
            <w:r>
              <w:rPr>
                <w:sz w:val="17"/>
              </w:rPr>
              <w:t xml:space="preserve"> (watermark + </w:t>
            </w:r>
            <w:r>
              <w:rPr>
                <w:rFonts w:ascii="Consolas" w:hAnsi="Consolas"/>
                <w:color w:val="8B2F2F"/>
                <w:sz w:val="15"/>
              </w:rPr>
              <w:t>verified</w:t>
            </w:r>
            <w:r>
              <w:rPr>
                <w:sz w:val="17"/>
              </w:rPr>
              <w:t xml:space="preserve"> row, single SQLite transaction, </w:t>
            </w:r>
            <w:r>
              <w:rPr>
                <w:rFonts w:ascii="Consolas" w:hAnsi="Consolas"/>
                <w:color w:val="8B2F2F"/>
                <w:sz w:val="15"/>
              </w:rPr>
              <w:t>synchronous=FULL</w:t>
            </w:r>
            <w:r>
              <w:rPr>
                <w:sz w:val="17"/>
              </w:rPr>
              <w:t>, WAL)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8B2F2F"/>
                <w:sz w:val="15"/>
              </w:rPr>
              <w:t>SqliteJournal.Commit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 xml:space="preserve">Content dedupe (same sender + same plaintext hash → </w:t>
            </w:r>
            <w:r>
              <w:rPr>
                <w:rFonts w:ascii="Consolas" w:hAnsi="Consolas"/>
                <w:color w:val="8B2F2F"/>
                <w:sz w:val="15"/>
              </w:rPr>
              <w:t>duplicate</w:t>
            </w:r>
            <w:r>
              <w:rPr>
                <w:sz w:val="17"/>
              </w:rPr>
              <w:t xml:space="preserve">, nothing written) → </w:t>
            </w:r>
            <w:r>
              <w:rPr>
                <w:b/>
                <w:sz w:val="17"/>
              </w:rPr>
              <w:t>atomic materialization</w:t>
            </w:r>
            <w:r>
              <w:rPr>
                <w:sz w:val="17"/>
              </w:rPr>
              <w:t xml:space="preserve">: staging file inside the store root + </w:t>
            </w:r>
            <w:r>
              <w:rPr>
                <w:rFonts w:ascii="Consolas" w:hAnsi="Consolas"/>
                <w:color w:val="8B2F2F"/>
                <w:sz w:val="15"/>
              </w:rPr>
              <w:t>fsync</w:t>
            </w:r>
            <w:r>
              <w:rPr>
                <w:sz w:val="17"/>
              </w:rPr>
              <w:t xml:space="preserve"> + same-volume rename (</w:t>
            </w:r>
            <w:r>
              <w:rPr>
                <w:rFonts w:ascii="Consolas" w:hAnsi="Consolas"/>
                <w:color w:val="8B2F2F"/>
                <w:sz w:val="15"/>
              </w:rPr>
              <w:t>overwrite:false</w:t>
            </w:r>
            <w:r>
              <w:rPr>
                <w:sz w:val="17"/>
              </w:rPr>
              <w:t>) → journal row promoted → hash-chained audit record</w:t>
            </w:r>
          </w:p>
        </w:tc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8B2F2F"/>
                <w:sz w:val="15"/>
              </w:rPr>
              <w:t>MainWindow.HandleCompletion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B2F2F"/>
                <w:sz w:val="15"/>
              </w:rPr>
              <w:t>PayloadStore.Save</w:t>
            </w:r>
          </w:p>
        </w:tc>
        <w:tc>
          <w:tcPr>
            <w:tcW w:type="dxa" w:w="2412"/>
            <w:shd w:val="clear" w:fill="F3F6F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8B2F2F"/>
                <w:sz w:val="15"/>
              </w:rPr>
              <w:t>store_failed</w:t>
            </w:r>
            <w:r>
              <w:rPr>
                <w:sz w:val="17"/>
              </w:rPr>
              <w:t xml:space="preserve"> row, audited</w:t>
            </w:r>
          </w:p>
        </w:tc>
      </w:tr>
    </w:tbl>
    <w:p/>
    <w:p>
      <w:r>
        <w:t xml:space="preserve">Data symbols for the locked session are accepted only if the 8-byte session tag matches and the payload length equals the signed symbol size; duplicates are dropped by a seen-ID set. Filenames are treated as hostile: sanitized against </w:t>
      </w:r>
      <w:r>
        <w:rPr>
          <w:rFonts w:ascii="Consolas" w:hAnsi="Consolas"/>
          <w:color w:val="8B2F2F"/>
          <w:sz w:val="19"/>
        </w:rPr>
        <w:t>Path.GetInvalidFileNameChars</w:t>
      </w:r>
      <w:r>
        <w:t>, leading dots stripped, prefixed with the session GUID (</w:t>
      </w:r>
      <w:r>
        <w:rPr>
          <w:rFonts w:ascii="Consolas" w:hAnsi="Consolas"/>
          <w:color w:val="8B2F2F"/>
          <w:sz w:val="19"/>
        </w:rPr>
        <w:t>PayloadStore.SanitizeFilename</w:t>
      </w:r>
      <w:r>
        <w:t>) — path traversal via manifest filename is not possible.</w:t>
      </w:r>
    </w:p>
    <w:p>
      <w:r>
        <w:rPr>
          <w:b/>
        </w:rPr>
        <w:t>Crash semantics</w:t>
      </w:r>
      <w:r>
        <w:t xml:space="preserve"> are honest: watermark + </w:t>
      </w:r>
      <w:r>
        <w:rPr>
          <w:rFonts w:ascii="Consolas" w:hAnsi="Consolas"/>
          <w:color w:val="8B2F2F"/>
          <w:sz w:val="19"/>
        </w:rPr>
        <w:t>verified</w:t>
      </w:r>
      <w:r>
        <w:t xml:space="preserve"> row commit at verification time; a crash before materialization leaves a </w:t>
      </w:r>
      <w:r>
        <w:rPr>
          <w:rFonts w:ascii="Consolas" w:hAnsi="Consolas"/>
          <w:color w:val="8B2F2F"/>
          <w:sz w:val="19"/>
        </w:rPr>
        <w:t>verified</w:t>
      </w:r>
      <w:r>
        <w:t xml:space="preserve"> row with no file, which is visible to the operator rather than silently lost.</w:t>
      </w:r>
    </w:p>
    <w:p>
      <w:pPr>
        <w:pStyle w:val="Heading1"/>
      </w:pPr>
      <w:r>
        <w:t>4. How the fountain code works</w:t>
      </w:r>
    </w:p>
    <w:p>
      <w:r>
        <w:t xml:space="preserve">The in-house codec (~600 lines, </w:t>
      </w:r>
      <w:r>
        <w:rPr>
          <w:rFonts w:ascii="Consolas" w:hAnsi="Consolas"/>
          <w:color w:val="8B2F2F"/>
          <w:sz w:val="19"/>
        </w:rPr>
        <w:t>src/QrDiode.Core/Fountain/</w:t>
      </w:r>
      <w:r>
        <w:t xml:space="preserve">) is a </w:t>
      </w:r>
      <w:r>
        <w:rPr>
          <w:b/>
        </w:rPr>
        <w:t>systematic Luby Transform code</w:t>
      </w:r>
      <w:r>
        <w:t xml:space="preserve"> — chosen over RaptorQ explicitly because no maintained managed implementation exists and auditable C# was preferred over a P/Invoked native codec for a security tool (a defensible supply-chain decision; the cost is ~5–10 % reception overhead vs RaptorQ's ~0.2 %).</w:t>
      </w:r>
    </w:p>
    <w:p>
      <w:r>
        <w:rPr>
          <w:b/>
        </w:rPr>
        <w:t>Encoding.</w:t>
      </w:r>
      <w:r>
        <w:t xml:space="preserve"> The ciphertext is split into K source blocks of </w:t>
      </w:r>
      <w:r>
        <w:rPr>
          <w:rFonts w:ascii="Consolas" w:hAnsi="Consolas"/>
          <w:color w:val="8B2F2F"/>
          <w:sz w:val="19"/>
        </w:rPr>
        <w:t>symbolSize</w:t>
      </w:r>
      <w:r>
        <w:t xml:space="preserve"> bytes (last block zero-padded). Any 32-bit </w:t>
      </w:r>
      <w:r>
        <w:rPr>
          <w:rFonts w:ascii="Consolas" w:hAnsi="Consolas"/>
          <w:color w:val="8B2F2F"/>
          <w:sz w:val="19"/>
        </w:rPr>
        <w:t>symbolId</w:t>
      </w:r>
      <w:r>
        <w:t xml:space="preserve"> deterministically defines one symbol:</w:t>
      </w:r>
    </w:p>
    <w:p>
      <w:pPr>
        <w:pStyle w:val="ListBullet"/>
      </w:pPr>
      <w:r>
        <w:rPr>
          <w:rFonts w:ascii="Consolas" w:hAnsi="Consolas"/>
          <w:color w:val="8B2F2F"/>
          <w:sz w:val="19"/>
        </w:rPr>
        <w:t>symbolId &lt; K</w:t>
      </w:r>
      <w:r>
        <w:t xml:space="preserve"> → </w:t>
      </w:r>
      <w:r>
        <w:rPr>
          <w:b/>
        </w:rPr>
        <w:t>systematic</w:t>
      </w:r>
      <w:r>
        <w:t xml:space="preserve">: source block </w:t>
      </w:r>
      <w:r>
        <w:rPr>
          <w:rFonts w:ascii="Consolas" w:hAnsi="Consolas"/>
          <w:color w:val="8B2F2F"/>
          <w:sz w:val="19"/>
        </w:rPr>
        <w:t>symbolId</w:t>
      </w:r>
      <w:r>
        <w:t xml:space="preserve"> verbatim (fast path — a loss-free pass needs exactly K frames).</w:t>
      </w:r>
    </w:p>
    <w:p>
      <w:pPr>
        <w:pStyle w:val="ListBullet"/>
      </w:pPr>
      <w:r>
        <w:rPr>
          <w:rFonts w:ascii="Consolas" w:hAnsi="Consolas"/>
          <w:color w:val="8B2F2F"/>
          <w:sz w:val="19"/>
        </w:rPr>
        <w:t>symbolId ≥ K</w:t>
      </w:r>
      <w:r>
        <w:t xml:space="preserve"> → </w:t>
      </w:r>
      <w:r>
        <w:rPr>
          <w:b/>
        </w:rPr>
        <w:t>coded</w:t>
      </w:r>
      <w:r>
        <w:t xml:space="preserve">: the per-symbol seed is domain-separated as </w:t>
      </w:r>
      <w:r>
        <w:rPr>
          <w:rFonts w:ascii="Consolas" w:hAnsi="Consolas"/>
          <w:color w:val="8B2F2F"/>
          <w:sz w:val="19"/>
        </w:rPr>
        <w:t>mix = symbolId × 0x9E3779B97F4A7C15 ⊕ sessionSeed</w:t>
      </w:r>
      <w:r>
        <w:t xml:space="preserve">, run through </w:t>
      </w:r>
      <w:r>
        <w:rPr>
          <w:b/>
        </w:rPr>
        <w:t>splitmix64</w:t>
      </w:r>
      <w:r>
        <w:t xml:space="preserve">, and used to seed a </w:t>
      </w:r>
      <w:r>
        <w:rPr>
          <w:b/>
        </w:rPr>
        <w:t>xoshiro256++</w:t>
      </w:r>
      <w:r>
        <w:t xml:space="preserve"> PRNG (</w:t>
      </w:r>
      <w:r>
        <w:rPr>
          <w:rFonts w:ascii="Consolas" w:hAnsi="Consolas"/>
          <w:color w:val="8B2F2F"/>
          <w:sz w:val="19"/>
        </w:rPr>
        <w:t>DeterministicRandom.cs</w:t>
      </w:r>
      <w:r>
        <w:t xml:space="preserve">). </w:t>
      </w:r>
      <w:r>
        <w:rPr>
          <w:rFonts w:ascii="Consolas" w:hAnsi="Consolas"/>
          <w:color w:val="8B2F2F"/>
          <w:sz w:val="19"/>
        </w:rPr>
        <w:t>System.Random</w:t>
      </w:r>
      <w:r>
        <w:t xml:space="preserve"> was deliberately avoided — its algorithm is not a cross-version contract, and both ends must derive identical results. A </w:t>
      </w:r>
      <w:r>
        <w:rPr>
          <w:b/>
        </w:rPr>
        <w:t>degree</w:t>
      </w:r>
      <w:r>
        <w:t xml:space="preserve"> d is sampled from the precomputed CDF of the </w:t>
      </w:r>
      <w:r>
        <w:rPr>
          <w:b/>
        </w:rPr>
        <w:t>robust soliton distribution</w:t>
      </w:r>
      <w:r>
        <w:t xml:space="preserve"> (Luby 2002; c = 0.1, δ = 0.05: ideal soliton ρ plus the spike τ at K/R — </w:t>
      </w:r>
      <w:r>
        <w:rPr>
          <w:rFonts w:ascii="Consolas" w:hAnsi="Consolas"/>
          <w:color w:val="8B2F2F"/>
          <w:sz w:val="19"/>
        </w:rPr>
        <w:t>RobustSoliton.cs</w:t>
      </w:r>
      <w:r>
        <w:t xml:space="preserve">), then d </w:t>
      </w:r>
      <w:r>
        <w:rPr>
          <w:b/>
        </w:rPr>
        <w:t>distinct neighbor indices</w:t>
      </w:r>
      <w:r>
        <w:t xml:space="preserve"> in [0, K) are drawn — partial Fisher–Yates when d &gt; K/2, rejection sampling otherwise; bounded integers use Lemire multiply-shift rejection, so there is </w:t>
      </w:r>
      <w:r>
        <w:rPr>
          <w:b/>
        </w:rPr>
        <w:t>no modulo bias</w:t>
      </w:r>
      <w:r>
        <w:t xml:space="preserve"> and the neighbor sets match bit-for-bit on both sides. The symbol is the XOR of its neighbors.</w:t>
      </w:r>
    </w:p>
    <w:p>
      <w:r>
        <w:rPr>
          <w:b/>
        </w:rPr>
        <w:t>Decoding</w:t>
      </w:r>
      <w:r>
        <w:t xml:space="preserve"> (</w:t>
      </w:r>
      <w:r>
        <w:rPr>
          <w:rFonts w:ascii="Consolas" w:hAnsi="Consolas"/>
          <w:color w:val="8B2F2F"/>
          <w:sz w:val="19"/>
        </w:rPr>
        <w:t>LtDecoder.cs</w:t>
      </w:r>
      <w:r>
        <w:t xml:space="preserve">) is incremental </w:t>
      </w:r>
      <w:r>
        <w:rPr>
          <w:b/>
        </w:rPr>
        <w:t>belief-propagation peeling</w:t>
      </w:r>
      <w:r>
        <w:t>: arriving symbols are XOR-reduced by every already-known source block; a symbol with one unknown neighbor immediately resolves it, and each resolution is pushed through a work queue that peels every buffered symbol depending on it, cascading until quiescent. Symbols may arrive in any order, duplicated, or never — the carousel guarantees more equations come. Decoding completes when all K blocks are resolved; assembly truncates the final padded block to the signed ciphertext length.</w:t>
      </w:r>
    </w:p>
    <w:p>
      <w:r>
        <w:rPr>
          <w:b/>
        </w:rPr>
        <w:t>Security posture of the codec:</w:t>
      </w:r>
      <w:r>
        <w:t xml:space="preserve"> all coding parameters (K, symbolSize, seed, sizes) come </w:t>
      </w:r>
      <w:r>
        <w:rPr>
          <w:b/>
        </w:rPr>
        <w:t>from the signed manifest</w:t>
      </w:r>
      <w:r>
        <w:t xml:space="preserve">, so an attacker cannot choose pathological parameters without defeating ECDSA first. The PRNG is not cryptographic and does not need to be — it only schedules XORs; integrity is enforced end-to-end by the signed SHA-256 and the GCM tag, and the property tests confirm round-trips under 50 % random loss and full shuffling. The one consequence of unauthenticated </w:t>
      </w:r>
      <w:r>
        <w:rPr>
          <w:i/>
        </w:rPr>
        <w:t>symbols</w:t>
      </w:r>
      <w:r>
        <w:t xml:space="preserve"> (only CRC-32 protects a data frame before decode completion) is an availability issue, treated as finding F-06.</w:t>
      </w:r>
    </w:p>
    <w:p>
      <w:pPr>
        <w:pStyle w:val="Heading1"/>
      </w:pPr>
      <w:r>
        <w:t>5. Security measures in place, mapped to industry standards</w:t>
      </w:r>
    </w:p>
    <w:p>
      <w:r>
        <w:t>All verified in source. Standard references: IEC 62443-3-3 (SR = system requirement), NIST SP 800-53r5, NIST SP 800-82r3.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321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Implementation (evidence)</w:t>
            </w:r>
          </w:p>
        </w:tc>
        <w:tc>
          <w:tcPr>
            <w:tcW w:type="dxa" w:w="3216"/>
            <w:shd w:val="clear" w:fill="1F3A5F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Standards alignment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Physical unidirectionality (data-diode semantics)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No network code exists in any project (verified by search); the only channel is screen→camera; no ACK path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62443-3-3 SR 5.1/5.2 (zone segmentation); 800-82r3 unidirectional-gateway guidance</w:t>
            </w:r>
          </w:p>
        </w:tc>
      </w:tr>
      <w:tr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Authenticity before parsing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ECDSA P-256 manifest signature verified against an offline-provisioned trust store before any payload byte is touched (</w:t>
            </w:r>
            <w:r>
              <w:rPr>
                <w:rFonts w:ascii="Consolas" w:hAnsi="Consolas"/>
                <w:color w:val="8B2F2F"/>
                <w:sz w:val="15"/>
              </w:rPr>
              <w:t>ReceiveEngine.cs:129-133</w:t>
            </w:r>
            <w:r>
              <w:rPr>
                <w:sz w:val="17"/>
              </w:rPr>
              <w:t>)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SR 1.2, SR 2.12 (non-repudiation), 800-53 SC-8/SC-23, SI-7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Confidentiality on the optical path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 xml:space="preserve">AES-256-GCM; per-session key via static-static ECDH P-256 + HKDF-SHA256; unique 32-byte salt and GUID in </w:t>
            </w:r>
            <w:r>
              <w:rPr>
                <w:rFonts w:ascii="Consolas" w:hAnsi="Consolas"/>
                <w:color w:val="8B2F2F"/>
                <w:sz w:val="15"/>
              </w:rPr>
              <w:t>info</w:t>
            </w:r>
            <w:r>
              <w:rPr>
                <w:sz w:val="17"/>
              </w:rPr>
              <w:t xml:space="preserve"> per session; 12-byte CSPRNG nonce; explicit 16-byte tag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SR 4.1; SC-13, SC-28; NIST SP 800-131A-acceptable algorithms; FIPS-friendly (CNG primitives)</w:t>
            </w:r>
          </w:p>
        </w:tc>
      </w:tr>
      <w:tr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Cryptographic binding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Signed manifest carries ciphertext hash; AAD carries session identity incl. both key IDs — no mix-and-match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SC-8(1)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Recipient pinning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Manifest names the receiver key ID; receiver enforces addressing (</w:t>
            </w:r>
            <w:r>
              <w:rPr>
                <w:rFonts w:ascii="Consolas" w:hAnsi="Consolas"/>
                <w:color w:val="8B2F2F"/>
                <w:sz w:val="15"/>
              </w:rPr>
              <w:t>ReceiveEngine.cs:136</w:t>
            </w:r>
            <w:r>
              <w:rPr>
                <w:sz w:val="17"/>
              </w:rPr>
              <w:t>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SR 2.1</w:t>
            </w:r>
          </w:p>
        </w:tc>
      </w:tr>
      <w:tr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Anti-replay, three independent factors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 xml:space="preserve">Session-GUID dedupe + per-sender-key monotonic counter high-watermark + timestamp window, enforced from SQLite (WAL, </w:t>
            </w:r>
            <w:r>
              <w:rPr>
                <w:rFonts w:ascii="Consolas" w:hAnsi="Consolas"/>
                <w:color w:val="8B2F2F"/>
                <w:sz w:val="15"/>
              </w:rPr>
              <w:t>synchronous=FULL</w:t>
            </w:r>
            <w:r>
              <w:rPr>
                <w:sz w:val="17"/>
              </w:rPr>
              <w:t>) in one transaction; sender counter reserved-then-flushed before use, DPAPI at rest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SR 3.1/3.5; SC-23; 800-53 IA-3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Hostile-input parsing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Span-based frame parser, every length checked first, Try-pattern, no allocation/exception on reject (</w:t>
            </w:r>
            <w:r>
              <w:rPr>
                <w:rFonts w:ascii="Consolas" w:hAnsi="Consolas"/>
                <w:color w:val="8B2F2F"/>
                <w:sz w:val="15"/>
              </w:rPr>
              <w:t>FrameParser.cs</w:t>
            </w:r>
            <w:r>
              <w:rPr>
                <w:sz w:val="17"/>
              </w:rPr>
              <w:t>); manifest sanity envelope (≤128 MB, K/size consistency)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SR 3.5; SI-10; fuzz-tested (bit-flip and garbage corpus tests, executed)</w:t>
            </w:r>
          </w:p>
        </w:tc>
      </w:tr>
      <w:tr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Injection-resistant content gate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 xml:space="preserve">XML: DTD prohibited, resolver null, entity chars = 0, depth cap; JSON: depth cap, strict syntax; identical hardening in the </w:t>
            </w:r>
            <w:r>
              <w:rPr>
                <w:i/>
                <w:sz w:val="17"/>
              </w:rPr>
              <w:t>display</w:t>
            </w:r>
            <w:r>
              <w:rPr>
                <w:sz w:val="17"/>
              </w:rPr>
              <w:t xml:space="preserve"> formatter both sides (</w:t>
            </w:r>
            <w:r>
              <w:rPr>
                <w:rFonts w:ascii="Consolas" w:hAnsi="Consolas"/>
                <w:color w:val="8B2F2F"/>
                <w:sz w:val="15"/>
              </w:rPr>
              <w:t>ContentGate.cs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B2F2F"/>
                <w:sz w:val="15"/>
              </w:rPr>
              <w:t>PayloadFormatter.cs</w:t>
            </w:r>
            <w:r>
              <w:rPr>
                <w:sz w:val="17"/>
              </w:rPr>
              <w:t>)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SI-10; OWASP XXE prevention (fully aligned)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Zip-bomb defense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Brotli output hard-capped at the signed size; trailing data fails closed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SI-10</w:t>
            </w:r>
          </w:p>
        </w:tc>
      </w:tr>
      <w:tr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Path-traversal defense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 xml:space="preserve">Filename sanitization + GUID prefix + fixed store root; </w:t>
            </w:r>
            <w:r>
              <w:rPr>
                <w:rFonts w:ascii="Consolas" w:hAnsi="Consolas"/>
                <w:color w:val="8B2F2F"/>
                <w:sz w:val="15"/>
              </w:rPr>
              <w:t>overwrite:false</w:t>
            </w:r>
            <w:r>
              <w:rPr>
                <w:sz w:val="17"/>
              </w:rPr>
              <w:t xml:space="preserve"> move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SI-10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Transactional, atomic materialization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 xml:space="preserve">Staging + </w:t>
            </w:r>
            <w:r>
              <w:rPr>
                <w:rFonts w:ascii="Consolas" w:hAnsi="Consolas"/>
                <w:color w:val="8B2F2F"/>
                <w:sz w:val="15"/>
              </w:rPr>
              <w:t>Flush(flushToDisk:true)</w:t>
            </w:r>
            <w:r>
              <w:rPr>
                <w:sz w:val="17"/>
              </w:rPr>
              <w:t xml:space="preserve"> + same-volume rename; journal/audit in the same flow; crash states operator-visible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SR 3.4; 800-82 integrity of recorded data</w:t>
            </w:r>
          </w:p>
        </w:tc>
      </w:tr>
      <w:tr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Idempotency / dedupe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 xml:space="preserve">Same sender + same plaintext hash → </w:t>
            </w:r>
            <w:r>
              <w:rPr>
                <w:rFonts w:ascii="Consolas" w:hAnsi="Consolas"/>
                <w:color w:val="8B2F2F"/>
                <w:sz w:val="15"/>
              </w:rPr>
              <w:t>duplicate</w:t>
            </w:r>
            <w:r>
              <w:rPr>
                <w:sz w:val="17"/>
              </w:rPr>
              <w:t>, never re-written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Transactional-integrity good practice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Key management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 xml:space="preserve">CNG named keys, </w:t>
            </w:r>
            <w:r>
              <w:rPr>
                <w:rFonts w:ascii="Consolas" w:hAnsi="Consolas"/>
                <w:color w:val="8B2F2F"/>
                <w:sz w:val="15"/>
              </w:rPr>
              <w:t>ExportPolicy = None</w:t>
            </w:r>
            <w:r>
              <w:rPr>
                <w:sz w:val="17"/>
              </w:rPr>
              <w:t xml:space="preserve"> (non-exportable), TPM Platform Crypto Provider preferred with software-KSP fallback surfaced in the UI; only public SPKI bundles cross zones; strict bundle JSON (</w:t>
            </w:r>
            <w:r>
              <w:rPr>
                <w:rFonts w:ascii="Consolas" w:hAnsi="Consolas"/>
                <w:color w:val="8B2F2F"/>
                <w:sz w:val="15"/>
              </w:rPr>
              <w:t>UnmappedMemberHandling.Disallow</w:t>
            </w:r>
            <w:r>
              <w:rPr>
                <w:sz w:val="17"/>
              </w:rPr>
              <w:t>); 128-bit whole-bundle fingerprint compared out-of-band; import refuses to overwrite (explicit two-step rotation)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SR 1.5; IA-5; SC-12; FIPS 140-3-validated platform providers</w:t>
            </w:r>
          </w:p>
        </w:tc>
      </w:tr>
      <w:tr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Audit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 xml:space="preserve">Append-only hash-chained JSONL on both ends, fsync per record, torn-tail tolerant, </w:t>
            </w:r>
            <w:r>
              <w:rPr>
                <w:rFonts w:ascii="Consolas" w:hAnsi="Consolas"/>
                <w:color w:val="8B2F2F"/>
                <w:sz w:val="15"/>
              </w:rPr>
              <w:t>AuditLog.Verify</w:t>
            </w:r>
            <w:r>
              <w:rPr>
                <w:sz w:val="17"/>
              </w:rPr>
              <w:t xml:space="preserve"> detects edits from the break point; every send, receive, rejection, store change and export audited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SR 6.1/6.2; AU-9/AU-10 (partially — see F-04)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Least attack surface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 xml:space="preserve">No third-party crypto; no dynamic deserialization; parameterized SQL everywhere incl. escaped </w:t>
            </w:r>
            <w:r>
              <w:rPr>
                <w:rFonts w:ascii="Consolas" w:hAnsi="Consolas"/>
                <w:color w:val="8B2F2F"/>
                <w:sz w:val="15"/>
              </w:rPr>
              <w:t>LIKE</w:t>
            </w:r>
            <w:r>
              <w:rPr>
                <w:sz w:val="17"/>
              </w:rPr>
              <w:t>; UI payload viewers bounded and non-interpreting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sz w:val="17"/>
              </w:rPr>
              <w:t>SR 7.x resource availability; secure-coding norms</w:t>
            </w:r>
          </w:p>
        </w:tc>
      </w:tr>
      <w:tr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Verification depth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 xml:space="preserve">75 tests incl. full optical loopback through real QR images, tamper/replay/XXE negative paths, parser bit-flip corpus — </w:t>
            </w:r>
            <w:r>
              <w:rPr>
                <w:b/>
                <w:sz w:val="17"/>
              </w:rPr>
              <w:t>executed by the reviewer: 75/75 pass</w:t>
            </w:r>
          </w:p>
        </w:tc>
        <w:tc>
          <w:tcPr>
            <w:tcW w:type="dxa" w:w="3216"/>
            <w:shd w:val="clear" w:fill="F3F6FA"/>
          </w:tcPr>
          <w:p>
            <w:pPr>
              <w:spacing w:after="40" w:before="40"/>
            </w:pPr>
            <w:r/>
            <w:r>
              <w:rPr>
                <w:sz w:val="17"/>
              </w:rPr>
              <w:t>62443-4-1 SVV practices</w:t>
            </w:r>
          </w:p>
        </w:tc>
      </w:tr>
    </w:tbl>
    <w:p/>
    <w:p>
      <w:pPr>
        <w:pStyle w:val="Heading1"/>
      </w:pPr>
      <w:r>
        <w:t>6. Findings — what stands between this and "brutally secure"</w:t>
      </w:r>
    </w:p>
    <w:p>
      <w:r>
        <w:t>Severity is qualitative (impact × attacker feasibility) within the stated deployment: OT sender zone, IT receiver zone, optical corridor observable/injectable by insiders, local attackers assumed possible at user privilege.</w:t>
      </w:r>
    </w:p>
    <w:p>
      <w:pPr>
        <w:pStyle w:val="Heading2"/>
      </w:pPr>
      <w:r>
        <w:rPr>
          <w:color w:val="1F3A5F"/>
        </w:rPr>
        <w:t>F-01 · Manifest metadata is cleartext on the wire — High (confidentiality of metadata)</w:t>
      </w:r>
    </w:p>
    <w:p>
      <w:r>
        <w:t xml:space="preserve">The manifest body is signed but </w:t>
      </w:r>
      <w:r>
        <w:rPr>
          <w:b/>
        </w:rPr>
        <w:t>not encrypted</w:t>
      </w:r>
      <w:r>
        <w:t>. Anyone filming the screen reads: filename (≤255 bytes — in OT contexts frequently sensitive on its own, e.g. recipe or batch identifiers), exact plaintext/compressed sizes, timestamps, counter (volume/tempo intelligence), and both key IDs (infrastructure enumeration). The README acknowledges size/timing traffic analysis; filename and key-ID exposure exceeds that acknowledgement.</w:t>
      </w:r>
    </w:p>
    <w:p>
      <w:r>
        <w:rPr>
          <w:b/>
        </w:rPr>
        <w:t>Fix:</w:t>
      </w:r>
      <w:r>
        <w:t xml:space="preserve"> encrypt the descriptive tail of the manifest (filename, content kind, sizes beyond what LT bootstrap needs) under the same session key in a second AEAD envelope, or move to opaque transfer IDs with the human-readable name inside the encrypted payload. Coding parameters (K, symbolSize, seed, ciphertext size/hash) must stay cleartext-signed; nothing else must.</w:t>
      </w:r>
    </w:p>
    <w:p>
      <w:pPr>
        <w:pStyle w:val="Heading2"/>
      </w:pPr>
      <w:r>
        <w:rPr>
          <w:color w:val="1F3A5F"/>
        </w:rPr>
        <w:t>F-02 · No forward secrecy; quantum-harvest exposure — Medium (long horizon)</w:t>
      </w:r>
    </w:p>
    <w:p>
      <w:r>
        <w:t xml:space="preserve">Key derivation is </w:t>
      </w:r>
      <w:r>
        <w:rPr>
          <w:b/>
        </w:rPr>
        <w:t>static-static</w:t>
      </w:r>
      <w:r>
        <w:t xml:space="preserve"> ECDH: compromise of </w:t>
      </w:r>
      <w:r>
        <w:rPr>
          <w:i/>
        </w:rPr>
        <w:t>either</w:t>
      </w:r>
      <w:r>
        <w:t xml:space="preserve"> endpoint's long-term agreement private key decrypts </w:t>
      </w:r>
      <w:r>
        <w:rPr>
          <w:b/>
        </w:rPr>
        <w:t>every recorded past session</w:t>
      </w:r>
      <w:r>
        <w:t xml:space="preserve"> (salt and nonce are public in the manifest). The optical medium makes recording trivially deniable — a phone pointed at the screen archives ciphertext forever. TPM non-exportability mitigates software theft but not endpoint compromise, and the silent software-KSP fallback (</w:t>
      </w:r>
      <w:r>
        <w:rPr>
          <w:rFonts w:ascii="Consolas" w:hAnsi="Consolas"/>
          <w:color w:val="8B2F2F"/>
          <w:sz w:val="19"/>
        </w:rPr>
        <w:t>CngEndpointKeys.cs:82</w:t>
      </w:r>
      <w:r>
        <w:t>) weakens the floor on TPM-less machines. P-256/ECDH is also not post-quantum; harvest-now-decrypt-later applies.</w:t>
      </w:r>
    </w:p>
    <w:p>
      <w:r>
        <w:rPr>
          <w:b/>
        </w:rPr>
        <w:t>Fix (layered):</w:t>
      </w:r>
      <w:r>
        <w:t xml:space="preserve"> (a) sender-side </w:t>
      </w:r>
      <w:r>
        <w:rPr>
          <w:b/>
        </w:rPr>
        <w:t>ephemeral</w:t>
      </w:r>
      <w:r>
        <w:t xml:space="preserve"> ECDH share carried in the signed manifest (ephemeral-static, HPKE-auth-like) — removes sender-key exposure entirely; (b) scheduled receiver key rotation (the key-ID mechanism already supports overlap) to bound the receiver-static window; (c) roadmap item: hybrid </w:t>
      </w:r>
      <w:r>
        <w:rPr>
          <w:b/>
        </w:rPr>
        <w:t>ML-KEM-768 + ECDH</w:t>
      </w:r>
      <w:r>
        <w:t xml:space="preserve"> encapsulation per CNSA 2.0 / NIST SP 800-227 direction.</w:t>
      </w:r>
    </w:p>
    <w:p>
      <w:pPr>
        <w:pStyle w:val="Heading2"/>
      </w:pPr>
      <w:r>
        <w:rPr>
          <w:color w:val="1F3A5F"/>
        </w:rPr>
        <w:t>F-03 · Trust store and anti-replay state are user-writable plaintext files — High (local attacker)</w:t>
      </w:r>
    </w:p>
    <w:p>
      <w:r>
        <w:rPr>
          <w:rFonts w:ascii="Consolas" w:hAnsi="Consolas"/>
          <w:color w:val="8B2F2F"/>
          <w:sz w:val="19"/>
        </w:rPr>
        <w:t>%LocalAppData%\QrDiode\trust\*.json</w:t>
      </w:r>
      <w:r>
        <w:t xml:space="preserve">, </w:t>
      </w:r>
      <w:r>
        <w:rPr>
          <w:rFonts w:ascii="Consolas" w:hAnsi="Consolas"/>
          <w:color w:val="8B2F2F"/>
          <w:sz w:val="19"/>
        </w:rPr>
        <w:t>journal.db</w:t>
      </w:r>
      <w:r>
        <w:t xml:space="preserve">, </w:t>
      </w:r>
      <w:r>
        <w:rPr>
          <w:rFonts w:ascii="Consolas" w:hAnsi="Consolas"/>
          <w:color w:val="8B2F2F"/>
          <w:sz w:val="19"/>
        </w:rPr>
        <w:t>sender-counter.bin</w:t>
      </w:r>
      <w:r>
        <w:t xml:space="preserve"> and </w:t>
      </w:r>
      <w:r>
        <w:rPr>
          <w:rFonts w:ascii="Consolas" w:hAnsi="Consolas"/>
          <w:color w:val="8B2F2F"/>
          <w:sz w:val="19"/>
        </w:rPr>
        <w:t>receiver-settings.json</w:t>
      </w:r>
      <w:r>
        <w:t xml:space="preserve"> are created with default user ACLs. Consequences for any code running as the receiver's user: </w:t>
      </w:r>
      <w:r>
        <w:rPr>
          <w:b/>
        </w:rPr>
        <w:t>dropping a JSON bundle into `trust\` silently provisions a new trusted sender</w:t>
      </w:r>
      <w:r>
        <w:t xml:space="preserve"> (no signature over the store, no audit event on out-of-band imports — </w:t>
      </w:r>
      <w:r>
        <w:rPr>
          <w:rFonts w:ascii="Consolas" w:hAnsi="Consolas"/>
          <w:color w:val="8B2F2F"/>
          <w:sz w:val="19"/>
        </w:rPr>
        <w:t>DirectoryTrustStore</w:t>
      </w:r>
      <w:r>
        <w:t xml:space="preserve"> loads whatever parses); deleting </w:t>
      </w:r>
      <w:r>
        <w:rPr>
          <w:rFonts w:ascii="Consolas" w:hAnsi="Consolas"/>
          <w:color w:val="8B2F2F"/>
          <w:sz w:val="19"/>
        </w:rPr>
        <w:t>journal.db</w:t>
      </w:r>
      <w:r>
        <w:t xml:space="preserve"> erases session/counter watermarks, reopening the full timestamp window (48 h default) to replays of filmed traffic; deleting the sender's DPAPI counter file resets counters to 1, which the receiver will then reject (availability). The protocol is strong; its </w:t>
      </w:r>
      <w:r>
        <w:rPr>
          <w:b/>
        </w:rPr>
        <w:t>roots of trust sit in soft filesystem state</w:t>
      </w:r>
      <w:r>
        <w:t>.</w:t>
      </w:r>
    </w:p>
    <w:p>
      <w:r>
        <w:rPr>
          <w:b/>
        </w:rPr>
        <w:t>Fix:</w:t>
      </w:r>
      <w:r>
        <w:t xml:space="preserve"> dedicated service accounts and restrictive ACLs on </w:t>
      </w:r>
      <w:r>
        <w:rPr>
          <w:rFonts w:ascii="Consolas" w:hAnsi="Consolas"/>
          <w:color w:val="8B2F2F"/>
          <w:sz w:val="19"/>
        </w:rPr>
        <w:t>%LocalAppData%\QrDiode</w:t>
      </w:r>
      <w:r>
        <w:t xml:space="preserve"> (deny interactive users write); trust-store changes only via an elevated ceremony path that appends to the audit chain; optionally seal the trust directory index with a DPAPI-machine MAC; alarm at Start when the journal is missing/reinitialized (watermark regression detection); back up watermarks.</w:t>
      </w:r>
    </w:p>
    <w:p>
      <w:pPr>
        <w:pStyle w:val="Heading2"/>
      </w:pPr>
      <w:r>
        <w:rPr>
          <w:color w:val="1F3A5F"/>
        </w:rPr>
        <w:t>F-04 · Audit chain is unkeyed — Medium</w:t>
      </w:r>
    </w:p>
    <w:p>
      <w:r>
        <w:t>The hash chain (</w:t>
      </w:r>
      <w:r>
        <w:rPr>
          <w:rFonts w:ascii="Consolas" w:hAnsi="Consolas"/>
          <w:color w:val="8B2F2F"/>
          <w:sz w:val="19"/>
        </w:rPr>
        <w:t>AuditLog.cs</w:t>
      </w:r>
      <w:r>
        <w:t xml:space="preserve">) detects casual edits, but an attacker with write access can </w:t>
      </w:r>
      <w:r>
        <w:rPr>
          <w:b/>
        </w:rPr>
        <w:t>rewrite the entire file and recompute every hash</w:t>
      </w:r>
      <w:r>
        <w:t xml:space="preserve"> — there is no secret in the chain and no external anchor. AU-10-style non-repudiation is not achieved against a local writer.</w:t>
      </w:r>
    </w:p>
    <w:p>
      <w:r>
        <w:rPr>
          <w:b/>
        </w:rPr>
        <w:t>Fix:</w:t>
      </w:r>
      <w:r>
        <w:t xml:space="preserve"> HMAC each record with a key held in the TPM/CNG (or countersign the chain head periodically with the endpoint's signing key), and/or ship records to an off-host collector (see §8 SIEM note) so the local file is not the only copy.</w:t>
      </w:r>
    </w:p>
    <w:p>
      <w:pPr>
        <w:pStyle w:val="Heading2"/>
      </w:pPr>
      <w:r>
        <w:rPr>
          <w:color w:val="1F3A5F"/>
        </w:rPr>
        <w:t>F-05 · Demo provisioning is reachable in production binaries — Medium</w:t>
      </w:r>
    </w:p>
    <w:p>
      <w:r>
        <w:t xml:space="preserve">Both WPF apps expose "⚡ Demo setup" and the CLI has </w:t>
      </w:r>
      <w:r>
        <w:rPr>
          <w:rFonts w:ascii="Consolas" w:hAnsi="Consolas"/>
          <w:color w:val="8B2F2F"/>
          <w:sz w:val="19"/>
        </w:rPr>
        <w:t>demo</w:t>
      </w:r>
      <w:r>
        <w:t xml:space="preserve">: it generates </w:t>
      </w:r>
      <w:r>
        <w:rPr>
          <w:rFonts w:ascii="Consolas" w:hAnsi="Consolas"/>
          <w:color w:val="8B2F2F"/>
          <w:sz w:val="19"/>
        </w:rPr>
        <w:t>demo-ot</w:t>
      </w:r>
      <w:r>
        <w:t>/</w:t>
      </w:r>
      <w:r>
        <w:rPr>
          <w:rFonts w:ascii="Consolas" w:hAnsi="Consolas"/>
          <w:color w:val="8B2F2F"/>
          <w:sz w:val="19"/>
        </w:rPr>
        <w:t>demo-it</w:t>
      </w:r>
      <w:r>
        <w:t xml:space="preserve"> key pairs </w:t>
      </w:r>
      <w:r>
        <w:rPr>
          <w:b/>
        </w:rPr>
        <w:t>on the local machine</w:t>
      </w:r>
      <w:r>
        <w:t xml:space="preserve"> and cross-trusts them (</w:t>
      </w:r>
      <w:r>
        <w:rPr>
          <w:rFonts w:ascii="Consolas" w:hAnsi="Consolas"/>
          <w:color w:val="8B2F2F"/>
          <w:sz w:val="19"/>
        </w:rPr>
        <w:t>DemoProvisioner.cs</w:t>
      </w:r>
      <w:r>
        <w:t xml:space="preserve">). On a production receiver, one click (or one social-engineered operator) adds a trusted sender </w:t>
      </w:r>
      <w:r>
        <w:rPr>
          <w:b/>
        </w:rPr>
        <w:t>whose private key lives on the receiver itself</w:t>
      </w:r>
      <w:r>
        <w:t>, enabling any local process to sign manifests the receiver will accept. The mechanism is honest (nothing is stubbed) but it is a standing trust-injection primitive.</w:t>
      </w:r>
    </w:p>
    <w:p>
      <w:r>
        <w:rPr>
          <w:b/>
        </w:rPr>
        <w:t>Fix:</w:t>
      </w:r>
      <w:r>
        <w:t xml:space="preserve"> compile demo provisioning out of production builds (build flag), or gate it behind an explicit machine-level policy marker plus an audit event; </w:t>
      </w:r>
      <w:r>
        <w:rPr>
          <w:rFonts w:ascii="Consolas" w:hAnsi="Consolas"/>
          <w:color w:val="8B2F2F"/>
          <w:sz w:val="19"/>
        </w:rPr>
        <w:t>demo-clean</w:t>
      </w:r>
      <w:r>
        <w:t xml:space="preserve"> on first production Start if demo bundles are detected.</w:t>
      </w:r>
    </w:p>
    <w:p>
      <w:pPr>
        <w:pStyle w:val="Heading2"/>
      </w:pPr>
      <w:r>
        <w:rPr>
          <w:color w:val="1F3A5F"/>
        </w:rPr>
        <w:t>F-06 · Data symbols are unauthenticated until decode completes — optical-injection DoS — Medium (availability; integrity unaffected)</w:t>
      </w:r>
    </w:p>
    <w:p>
      <w:r>
        <w:t xml:space="preserve">A data frame needs only a valid CRC-32 and the 8-byte session tag — both public on the wire. An attacker who can out-shine the legitimate screen (projector, laser, replayed video) during an active session can inject a symbol with a legitimate ID and wrong bytes. The seen-ID set then </w:t>
      </w:r>
      <w:r>
        <w:rPr>
          <w:b/>
        </w:rPr>
        <w:t>discards the genuine symbol as a duplicate</w:t>
      </w:r>
      <w:r>
        <w:t xml:space="preserve"> (</w:t>
      </w:r>
      <w:r>
        <w:rPr>
          <w:rFonts w:ascii="Consolas" w:hAnsi="Consolas"/>
          <w:color w:val="8B2F2F"/>
          <w:sz w:val="19"/>
        </w:rPr>
        <w:t>LtDecoder.AddSymbol</w:t>
      </w:r>
      <w:r>
        <w:t xml:space="preserve">), decode completes with corrupt ciphertext, the hash check fails — correctly — but </w:t>
      </w:r>
      <w:r>
        <w:rPr>
          <w:rFonts w:ascii="Consolas" w:hAnsi="Consolas"/>
          <w:color w:val="8B2F2F"/>
          <w:sz w:val="19"/>
        </w:rPr>
        <w:t>RejectAndReset</w:t>
      </w:r>
      <w:r>
        <w:t xml:space="preserve"> </w:t>
      </w:r>
      <w:r>
        <w:rPr>
          <w:b/>
        </w:rPr>
        <w:t>permanently settles the session</w:t>
      </w:r>
      <w:r>
        <w:t xml:space="preserve"> (</w:t>
      </w:r>
      <w:r>
        <w:rPr>
          <w:rFonts w:ascii="Consolas" w:hAnsi="Consolas"/>
          <w:color w:val="8B2F2F"/>
          <w:sz w:val="19"/>
        </w:rPr>
        <w:t>ReceiveEngine.cs:276-287</w:t>
      </w:r>
      <w:r>
        <w:t>): the remainder of the genuine carousel is ignored and the sender, having no back-channel, never learns the payload was lost. Additionally, decoder memory (</w:t>
      </w:r>
      <w:r>
        <w:rPr>
          <w:rFonts w:ascii="Consolas" w:hAnsi="Consolas"/>
          <w:color w:val="8B2F2F"/>
          <w:sz w:val="19"/>
        </w:rPr>
        <w:t>_seenSymbolIds</w:t>
      </w:r>
      <w:r>
        <w:t xml:space="preserve">, </w:t>
      </w:r>
      <w:r>
        <w:rPr>
          <w:rFonts w:ascii="Consolas" w:hAnsi="Consolas"/>
          <w:color w:val="8B2F2F"/>
          <w:sz w:val="19"/>
        </w:rPr>
        <w:t>_buffered</w:t>
      </w:r>
      <w:r>
        <w:t>) grows without bound across the 2³² symbol-ID space, so sustained injection is also a memory-exhaustion vector.</w:t>
      </w:r>
    </w:p>
    <w:p>
      <w:r>
        <w:rPr>
          <w:b/>
        </w:rPr>
        <w:t>Fix:</w:t>
      </w:r>
      <w:r>
        <w:t xml:space="preserve"> (a) on ciphertext-hash mismatch, </w:t>
      </w:r>
      <w:r>
        <w:rPr>
          <w:i/>
        </w:rPr>
        <w:t>re-arm</w:t>
      </w:r>
      <w:r>
        <w:t xml:space="preserve"> rather than settle — drop decoded state, keep the session ID acceptable while its manifest is still on air, and prefer last-writer or conflict-tracking for symbol IDs seen twice with different bytes (a 4-byte per-symbol XXH/CRC retained per accepted ID makes conflicts detectable cheaply); (b) cap retained coded symbols (e.g. 4×K) and the seen-ID set; (c) alarm the operator on symbol-conflict detection — it is a high-fidelity indicator of active optical attack; (d) longer term, derive a per-symbol MAC tag from the session key for data frames (costs ~8 bytes/frame) to authenticate symbols pre-decode.</w:t>
      </w:r>
    </w:p>
    <w:p>
      <w:pPr>
        <w:pStyle w:val="Heading2"/>
      </w:pPr>
      <w:r>
        <w:rPr>
          <w:color w:val="1F3A5F"/>
        </w:rPr>
        <w:t>F-07 · Replay/timestamp posture defaults are permissive — Low</w:t>
      </w:r>
    </w:p>
    <w:p>
      <w:r>
        <w:t>48 h acceptance window by default; the 15-minute Strict mode exists but is opt-in (</w:t>
      </w:r>
      <w:r>
        <w:rPr>
          <w:rFonts w:ascii="Consolas" w:hAnsi="Consolas"/>
          <w:color w:val="8B2F2F"/>
          <w:sz w:val="19"/>
        </w:rPr>
        <w:t>MainWindow.xaml.cs:227-229</w:t>
      </w:r>
      <w:r>
        <w:t>). Counter and GUID checks still block true replays while the journal survives (see F-03 for the coupling). The window matters most exactly when the journal is lost.</w:t>
      </w:r>
    </w:p>
    <w:p>
      <w:r>
        <w:rPr>
          <w:b/>
        </w:rPr>
        <w:t>Fix:</w:t>
      </w:r>
      <w:r>
        <w:t xml:space="preserve"> make Strict the default; document the OT/IT time-sync requirement (independent NTP/GPS per 800-82; the receiver clock is the enforcement clock); log skew observed per accepted manifest as telemetry.</w:t>
      </w:r>
    </w:p>
    <w:p>
      <w:pPr>
        <w:pStyle w:val="Heading2"/>
      </w:pPr>
      <w:r>
        <w:rPr>
          <w:color w:val="1F3A5F"/>
        </w:rPr>
        <w:t>F-08 · Native and OS-codec parsing of untrusted images, in-process — Medium</w:t>
      </w:r>
    </w:p>
    <w:p>
      <w:r>
        <w:t xml:space="preserve">The highest-volume untrusted input (camera frames, up to 60/s) is parsed by </w:t>
      </w:r>
      <w:r>
        <w:rPr>
          <w:b/>
        </w:rPr>
        <w:t>native zxing-cpp</w:t>
      </w:r>
      <w:r>
        <w:t xml:space="preserve"> and, for MJPEG/PNG camera modes, </w:t>
      </w:r>
      <w:r>
        <w:rPr>
          <w:b/>
        </w:rPr>
        <w:t>Windows WIC codecs</w:t>
      </w:r>
      <w:r>
        <w:t>, all inside the receiver process (</w:t>
      </w:r>
      <w:r>
        <w:rPr>
          <w:rFonts w:ascii="Consolas" w:hAnsi="Consolas"/>
          <w:color w:val="8B2F2F"/>
          <w:sz w:val="19"/>
        </w:rPr>
        <w:t>QrDecodePipeline.cs:143-168</w:t>
      </w:r>
      <w:r>
        <w:t xml:space="preserve">). The hand-written DIB→luminance converter is properly bounds-checked (verified, lines 171-207), but the native surfaces are outside this codebase's control; a memory-safety bug there is remote-code-execution-adjacent </w:t>
      </w:r>
      <w:r>
        <w:rPr>
          <w:i/>
        </w:rPr>
        <w:t>within the IT zone</w:t>
      </w:r>
      <w:r>
        <w:t xml:space="preserve"> for an attacker who controls what the camera sees.</w:t>
      </w:r>
    </w:p>
    <w:p>
      <w:r>
        <w:rPr>
          <w:b/>
        </w:rPr>
        <w:t>Fix:</w:t>
      </w:r>
      <w:r>
        <w:t xml:space="preserve"> isolate capture+decode into a separate low-privilege process (AppContainer / restricted token) that passes only decoded QR payload bytes over a pipe to the verifying process; keep zxing-cpp/FlashCap patched (watch CVEs); extend the planned Phase-3 fuzzing to the luminance-conversion and native-decode boundary.</w:t>
      </w:r>
    </w:p>
    <w:p>
      <w:pPr>
        <w:pStyle w:val="Heading2"/>
      </w:pPr>
      <w:r>
        <w:rPr>
          <w:color w:val="1F3A5F"/>
        </w:rPr>
        <w:t>F-09 · Software supply chain not yet pinned or attested — Medium</w:t>
      </w:r>
    </w:p>
    <w:p>
      <w:r>
        <w:t xml:space="preserve">No </w:t>
      </w:r>
      <w:r>
        <w:rPr>
          <w:rFonts w:ascii="Consolas" w:hAnsi="Consolas"/>
          <w:color w:val="8B2F2F"/>
          <w:sz w:val="19"/>
        </w:rPr>
        <w:t>packages.lock.json</w:t>
      </w:r>
      <w:r>
        <w:t xml:space="preserve">, no hash pinning, no SBOM, unsigned builds. The native </w:t>
      </w:r>
      <w:r>
        <w:rPr>
          <w:rFonts w:ascii="Consolas" w:hAnsi="Consolas"/>
          <w:color w:val="8B2F2F"/>
          <w:sz w:val="19"/>
        </w:rPr>
        <w:t>ZXing.dll</w:t>
      </w:r>
      <w:r>
        <w:t>/</w:t>
      </w:r>
      <w:r>
        <w:rPr>
          <w:rFonts w:ascii="Consolas" w:hAnsi="Consolas"/>
          <w:color w:val="8B2F2F"/>
          <w:sz w:val="19"/>
        </w:rPr>
        <w:t>libZXing</w:t>
      </w:r>
      <w:r>
        <w:t xml:space="preserve"> blobs arrive via NuGet with no local attestation. For a security appliance this is the classic residual: the protocol trusts no one, the build trusts the registry.</w:t>
      </w:r>
    </w:p>
    <w:p>
      <w:r>
        <w:rPr>
          <w:b/>
        </w:rPr>
        <w:t>Fix:</w:t>
      </w:r>
      <w:r>
        <w:t xml:space="preserve"> enable NuGet locked mode + </w:t>
      </w:r>
      <w:r>
        <w:rPr>
          <w:rFonts w:ascii="Consolas" w:hAnsi="Consolas"/>
          <w:color w:val="8B2F2F"/>
          <w:sz w:val="19"/>
        </w:rPr>
        <w:t>RestorePackagesWithLockFile</w:t>
      </w:r>
      <w:r>
        <w:t xml:space="preserve">; verify package signatures; produce a CycloneDX SBOM per release; sign binaries (Authenticode) and enforce WDAC/AppLocker on both endpoints so only the signed build runs; pin the .NET SDK in </w:t>
      </w:r>
      <w:r>
        <w:rPr>
          <w:rFonts w:ascii="Consolas" w:hAnsi="Consolas"/>
          <w:color w:val="8B2F2F"/>
          <w:sz w:val="19"/>
        </w:rPr>
        <w:t>global.json</w:t>
      </w:r>
      <w:r>
        <w:t>; OSV/NVD monitoring for zxing-cpp, FlashCap, SQLitePCLRaw.</w:t>
      </w:r>
    </w:p>
    <w:p>
      <w:pPr>
        <w:pStyle w:val="Heading2"/>
      </w:pPr>
      <w:r>
        <w:rPr>
          <w:color w:val="1F3A5F"/>
        </w:rPr>
        <w:t>F-10 · Key-management hygiene details — Low</w:t>
      </w:r>
    </w:p>
    <w:p>
      <w:r>
        <w:t xml:space="preserve">(a) Keys are created with </w:t>
      </w:r>
      <w:r>
        <w:rPr>
          <w:rFonts w:ascii="Consolas" w:hAnsi="Consolas"/>
          <w:color w:val="8B2F2F"/>
          <w:sz w:val="19"/>
        </w:rPr>
        <w:t>CngKeyUsages.AllUsages</w:t>
      </w:r>
      <w:r>
        <w:t xml:space="preserve"> (</w:t>
      </w:r>
      <w:r>
        <w:rPr>
          <w:rFonts w:ascii="Consolas" w:hAnsi="Consolas"/>
          <w:color w:val="8B2F2F"/>
          <w:sz w:val="19"/>
        </w:rPr>
        <w:t>CngEndpointKeys.cs:66</w:t>
      </w:r>
      <w:r>
        <w:t xml:space="preserve">) — signing and agreement keys should be usage-constrained. (b) </w:t>
      </w:r>
      <w:r>
        <w:rPr>
          <w:rFonts w:ascii="Consolas" w:hAnsi="Consolas"/>
          <w:color w:val="8B2F2F"/>
          <w:sz w:val="19"/>
        </w:rPr>
        <w:t>OpenOrCreateKey</w:t>
      </w:r>
      <w:r>
        <w:t xml:space="preserve"> opens a pre-existing key of the same name without checking its export policy or provider — a previously created </w:t>
      </w:r>
      <w:r>
        <w:rPr>
          <w:i/>
        </w:rPr>
        <w:t>exportable</w:t>
      </w:r>
      <w:r>
        <w:t xml:space="preserve"> key would be silently adopted. (c) Bundles carry </w:t>
      </w:r>
      <w:r>
        <w:rPr>
          <w:rFonts w:ascii="Consolas" w:hAnsi="Consolas"/>
          <w:color w:val="8B2F2F"/>
          <w:sz w:val="19"/>
        </w:rPr>
        <w:t>createdUtc</w:t>
      </w:r>
      <w:r>
        <w:t xml:space="preserve"> but no expiry, and nothing enforces rotation; revocation is manual file deletion with no audit event. Rotation tooling is an acknowledged Phase-3 item.</w:t>
      </w:r>
    </w:p>
    <w:p>
      <w:r>
        <w:rPr>
          <w:b/>
        </w:rPr>
        <w:t>Fix:</w:t>
      </w:r>
      <w:r>
        <w:t xml:space="preserve"> set </w:t>
      </w:r>
      <w:r>
        <w:rPr>
          <w:rFonts w:ascii="Consolas" w:hAnsi="Consolas"/>
          <w:color w:val="8B2F2F"/>
          <w:sz w:val="19"/>
        </w:rPr>
        <w:t>KeyUsage</w:t>
      </w:r>
      <w:r>
        <w:t xml:space="preserve"> to </w:t>
      </w:r>
      <w:r>
        <w:rPr>
          <w:rFonts w:ascii="Consolas" w:hAnsi="Consolas"/>
          <w:color w:val="8B2F2F"/>
          <w:sz w:val="19"/>
        </w:rPr>
        <w:t>Signing</w:t>
      </w:r>
      <w:r>
        <w:t>/</w:t>
      </w:r>
      <w:r>
        <w:rPr>
          <w:rFonts w:ascii="Consolas" w:hAnsi="Consolas"/>
          <w:color w:val="8B2F2F"/>
          <w:sz w:val="19"/>
        </w:rPr>
        <w:t>KeyAgreement</w:t>
      </w:r>
      <w:r>
        <w:t xml:space="preserve"> respectively; on open, assert </w:t>
      </w:r>
      <w:r>
        <w:rPr>
          <w:rFonts w:ascii="Consolas" w:hAnsi="Consolas"/>
          <w:color w:val="8B2F2F"/>
          <w:sz w:val="19"/>
        </w:rPr>
        <w:t>ExportPolicy == None</w:t>
      </w:r>
      <w:r>
        <w:t xml:space="preserve"> (and log provider); add bundle validity windows and a revocation/rotation runbook with audited trust-store mutations.</w:t>
      </w:r>
    </w:p>
    <w:p>
      <w:pPr>
        <w:pStyle w:val="Heading2"/>
      </w:pPr>
      <w:r>
        <w:rPr>
          <w:color w:val="1F3A5F"/>
        </w:rPr>
        <w:t>F-11 · Residual plaintext and cleanup — Low</w:t>
      </w:r>
    </w:p>
    <w:p>
      <w:r>
        <w:t xml:space="preserve">If the final </w:t>
      </w:r>
      <w:r>
        <w:rPr>
          <w:rFonts w:ascii="Consolas" w:hAnsi="Consolas"/>
          <w:color w:val="8B2F2F"/>
          <w:sz w:val="19"/>
        </w:rPr>
        <w:t>File.Move</w:t>
      </w:r>
      <w:r>
        <w:t xml:space="preserve"> or a later step fails, the staging </w:t>
      </w:r>
      <w:r>
        <w:rPr>
          <w:rFonts w:ascii="Consolas" w:hAnsi="Consolas"/>
          <w:color w:val="8B2F2F"/>
          <w:sz w:val="19"/>
        </w:rPr>
        <w:t>.tmp</w:t>
      </w:r>
      <w:r>
        <w:t xml:space="preserve"> (full plaintext) can remain in </w:t>
      </w:r>
      <w:r>
        <w:rPr>
          <w:rFonts w:ascii="Consolas" w:hAnsi="Consolas"/>
          <w:color w:val="8B2F2F"/>
          <w:sz w:val="19"/>
        </w:rPr>
        <w:t>&lt;store&gt;\.staging</w:t>
      </w:r>
      <w:r>
        <w:t xml:space="preserve">. Verified-payload previews are held in memory and can be copied to the Windows clipboard (clipboard is unaudited and readable by other user-session processes; the export path </w:t>
      </w:r>
      <w:r>
        <w:rPr>
          <w:i/>
        </w:rPr>
        <w:t>is</w:t>
      </w:r>
      <w:r>
        <w:t xml:space="preserve"> audited). Plaintext buffers are not zeroized (the session key </w:t>
      </w:r>
      <w:r>
        <w:rPr>
          <w:b/>
        </w:rPr>
        <w:t>is</w:t>
      </w:r>
      <w:r>
        <w:t xml:space="preserve"> zeroized — verified both sides).</w:t>
      </w:r>
    </w:p>
    <w:p>
      <w:r>
        <w:rPr>
          <w:b/>
        </w:rPr>
        <w:t>Fix:</w:t>
      </w:r>
      <w:r>
        <w:t xml:space="preserve"> sweep </w:t>
      </w:r>
      <w:r>
        <w:rPr>
          <w:rFonts w:ascii="Consolas" w:hAnsi="Consolas"/>
          <w:color w:val="8B2F2F"/>
          <w:sz w:val="19"/>
        </w:rPr>
        <w:t>.staging</w:t>
      </w:r>
      <w:r>
        <w:t xml:space="preserve"> at Start and after failures; consider a policy toggle disabling clipboard copy on the receiver; (optional) best-effort zeroization of plaintext after materialization.</w:t>
      </w:r>
    </w:p>
    <w:p>
      <w:pPr>
        <w:pStyle w:val="Heading2"/>
      </w:pPr>
      <w:r>
        <w:rPr>
          <w:color w:val="1F3A5F"/>
        </w:rPr>
        <w:t>F-12 · Silent delivery gaps are invisible on the IT side — Medium (OT transactional completeness)</w:t>
      </w:r>
    </w:p>
    <w:p>
      <w:r>
        <w:t xml:space="preserve">The sender drops the oldest queued payloads beyond depth 14 ("air-time budget exhausted") and records this only in the </w:t>
      </w:r>
      <w:r>
        <w:rPr>
          <w:b/>
        </w:rPr>
        <w:t>sender-side</w:t>
      </w:r>
      <w:r>
        <w:t xml:space="preserve"> queue/audit. The receiver has the tool to detect loss — the per-sender monotonic counter — but never uses it: a gap between the watermark and the next accepted counter is not flagged. For transactional OT data (the stated use case), silent gaps are an integrity-of-record issue even when every delivered payload is perfect.</w:t>
      </w:r>
    </w:p>
    <w:p>
      <w:r>
        <w:rPr>
          <w:b/>
        </w:rPr>
        <w:t>Fix:</w:t>
      </w:r>
      <w:r>
        <w:t xml:space="preserve"> on accept, if </w:t>
      </w:r>
      <w:r>
        <w:rPr>
          <w:rFonts w:ascii="Consolas" w:hAnsi="Consolas"/>
          <w:color w:val="8B2F2F"/>
          <w:sz w:val="19"/>
        </w:rPr>
        <w:t>counter &gt; watermark + 1</w:t>
      </w:r>
      <w:r>
        <w:t>, raise a visible "N transfers from this sender were never received" event into the inbox/archive/audit. This is cheap and materially improves the completeness story; pair with sender-side alarming when the queue trims.</w:t>
      </w:r>
    </w:p>
    <w:p>
      <w:pPr>
        <w:pStyle w:val="Heading2"/>
      </w:pPr>
      <w:r>
        <w:rPr>
          <w:color w:val="1F3A5F"/>
        </w:rPr>
        <w:t>F-13 · Small-payload and enum edge notes — Info</w:t>
      </w:r>
    </w:p>
    <w:p>
      <w:r>
        <w:rPr>
          <w:rFonts w:ascii="Consolas" w:hAnsi="Consolas"/>
          <w:color w:val="8B2F2F"/>
          <w:sz w:val="19"/>
        </w:rPr>
        <w:t>ushort</w:t>
      </w:r>
      <w:r>
        <w:t xml:space="preserve"> counter storage in SQLite uses </w:t>
      </w:r>
      <w:r>
        <w:rPr>
          <w:rFonts w:ascii="Consolas" w:hAnsi="Consolas"/>
          <w:color w:val="8B2F2F"/>
          <w:sz w:val="19"/>
        </w:rPr>
        <w:t>unchecked</w:t>
      </w:r>
      <w:r>
        <w:t xml:space="preserve"> signed casts — comparisons would misorder only beyond 2⁶³ (unreachable in practice). </w:t>
      </w:r>
      <w:r>
        <w:rPr>
          <w:rFonts w:ascii="Consolas" w:hAnsi="Consolas"/>
          <w:color w:val="8B2F2F"/>
          <w:sz w:val="19"/>
        </w:rPr>
        <w:t>RejectionInfo</w:t>
      </w:r>
      <w:r>
        <w:t xml:space="preserve"> after signature verification correctly gates what the UI is entitled to display. The </w:t>
      </w:r>
      <w:r>
        <w:rPr>
          <w:rFonts w:ascii="Consolas" w:hAnsi="Consolas"/>
          <w:color w:val="8B2F2F"/>
          <w:sz w:val="19"/>
        </w:rPr>
        <w:t>_settled</w:t>
      </w:r>
      <w:r>
        <w:t xml:space="preserve"> set grows per run (bounded by sessions/run; cleared on restart). No action required; documented for completeness.</w:t>
      </w:r>
    </w:p>
    <w:p>
      <w:pPr>
        <w:pStyle w:val="Heading1"/>
      </w:pPr>
      <w:r>
        <w:t>7. Prioritized hardening roadmap</w:t>
      </w:r>
    </w:p>
    <w:p>
      <w:r>
        <w:rPr>
          <w:b/>
        </w:rPr>
        <w:t>P0 — do before production exposure</w:t>
      </w:r>
    </w:p>
    <w:p>
      <w:pPr>
        <w:pStyle w:val="ListNumber"/>
      </w:pPr>
      <w:r>
        <w:t xml:space="preserve">ACL-harden </w:t>
      </w:r>
      <w:r>
        <w:rPr>
          <w:rFonts w:ascii="Consolas" w:hAnsi="Consolas"/>
          <w:color w:val="8B2F2F"/>
          <w:sz w:val="19"/>
        </w:rPr>
        <w:t>%LocalAppData%\QrDiode</w:t>
      </w:r>
      <w:r>
        <w:t xml:space="preserve"> under dedicated service accounts; alarm on missing/fresh journal; audit every trust-store mutation (F-03).</w:t>
      </w:r>
    </w:p>
    <w:p>
      <w:pPr>
        <w:pStyle w:val="ListNumber"/>
      </w:pPr>
      <w:r>
        <w:t>Remove/flag-out demo provisioning from production builds (F-05).</w:t>
      </w:r>
    </w:p>
    <w:p>
      <w:pPr>
        <w:pStyle w:val="ListNumber"/>
      </w:pPr>
      <w:r>
        <w:t>Default Strict replay window; document time-sync requirements (F-07).</w:t>
      </w:r>
    </w:p>
    <w:p>
      <w:pPr>
        <w:pStyle w:val="ListNumber"/>
      </w:pPr>
      <w:r>
        <w:t>Counter-gap detection on the receiver (F-12).</w:t>
      </w:r>
    </w:p>
    <w:p>
      <w:pPr>
        <w:pStyle w:val="ListNumber"/>
      </w:pPr>
      <w:r>
        <w:t>NuGet locked mode + signed binaries + WDAC/AppLocker allow-listing on both endpoints (F-09).</w:t>
      </w:r>
    </w:p>
    <w:p>
      <w:r>
        <w:rPr>
          <w:b/>
        </w:rPr>
        <w:t>P1 — next protocol/build iteration</w:t>
      </w:r>
    </w:p>
    <w:p>
      <w:pPr>
        <w:pStyle w:val="ListNumber"/>
      </w:pPr>
      <w:r>
        <w:t>Encrypt manifest descriptive fields (filename, sizes, content kind) (F-01) — protocol v2 field, receiver keeps v1 compat during overlap.</w:t>
      </w:r>
    </w:p>
    <w:p>
      <w:pPr>
        <w:pStyle w:val="ListNumber"/>
      </w:pPr>
      <w:r>
        <w:t>Re-arm instead of settle on ciphertext-hash mismatch; cap decoder memory; conflict-detection alarm (F-06).</w:t>
      </w:r>
    </w:p>
    <w:p>
      <w:pPr>
        <w:pStyle w:val="ListNumber"/>
      </w:pPr>
      <w:r>
        <w:t>Ephemeral sender ECDH share in the signed manifest; scheduled receiver key rotation (F-02a/b).</w:t>
      </w:r>
    </w:p>
    <w:p>
      <w:pPr>
        <w:pStyle w:val="ListNumber"/>
      </w:pPr>
      <w:r>
        <w:t>Sandbox the capture/decode stage into a low-privilege child process (F-08).</w:t>
      </w:r>
    </w:p>
    <w:p>
      <w:pPr>
        <w:pStyle w:val="ListNumber"/>
      </w:pPr>
      <w:r>
        <w:t>Keyed (TPM-HMAC) audit records or off-host audit shipping (F-04).</w:t>
      </w:r>
    </w:p>
    <w:p>
      <w:pPr>
        <w:pStyle w:val="ListNumber"/>
      </w:pPr>
      <w:r>
        <w:t>Key-usage constraints, export-policy assertion on open, bundle expiry (F-10).</w:t>
      </w:r>
    </w:p>
    <w:p>
      <w:r>
        <w:rPr>
          <w:b/>
        </w:rPr>
        <w:t>P2 — strategic</w:t>
      </w:r>
    </w:p>
    <w:p>
      <w:pPr>
        <w:pStyle w:val="ListNumber"/>
      </w:pPr>
      <w:r>
        <w:t>Hybrid PQC key encapsulation (ML-KEM-768 + ECDH) and ML-DSA signature migration path (F-02c) — the filmed-ciphertext HNDL scenario justifies this earlier than most IT systems.</w:t>
      </w:r>
    </w:p>
    <w:p>
      <w:pPr>
        <w:pStyle w:val="ListNumber"/>
      </w:pPr>
      <w:r>
        <w:t>Per-symbol authentication tags (F-06d) if the deployment's optical corridor cannot be physically controlled.</w:t>
      </w:r>
    </w:p>
    <w:p>
      <w:pPr>
        <w:pStyle w:val="ListNumber"/>
      </w:pPr>
      <w:r>
        <w:t xml:space="preserve">Formal fuzzing campaign (SharpFuzz on </w:t>
      </w:r>
      <w:r>
        <w:rPr>
          <w:rFonts w:ascii="Consolas" w:hAnsi="Consolas"/>
          <w:color w:val="8B2F2F"/>
          <w:sz w:val="19"/>
        </w:rPr>
        <w:t>FrameParser</w:t>
      </w:r>
      <w:r>
        <w:t>/</w:t>
      </w:r>
      <w:r>
        <w:rPr>
          <w:rFonts w:ascii="Consolas" w:hAnsi="Consolas"/>
          <w:color w:val="8B2F2F"/>
          <w:sz w:val="19"/>
        </w:rPr>
        <w:t>TransferManifest.TryParse</w:t>
      </w:r>
      <w:r>
        <w:t>; corpus from bench captures) — already on the project's Phase-3 plan; extend to the luminance path.</w:t>
      </w:r>
    </w:p>
    <w:p>
      <w:pPr>
        <w:pStyle w:val="Heading1"/>
      </w:pPr>
      <w:r>
        <w:t>8. IT/OT deployment guidance (beyond the codebase)</w:t>
      </w:r>
    </w:p>
    <w:p>
      <w:r>
        <w:t>These are environmental controls the software cannot provide for itself, aligned to IEC 62443 and NIST SP 800-82r3:</w:t>
      </w:r>
    </w:p>
    <w:p>
      <w:pPr>
        <w:pStyle w:val="ListBullet"/>
      </w:pPr>
      <w:r>
        <w:rPr>
          <w:b/>
        </w:rPr>
        <w:t>Zones and conduits:</w:t>
      </w:r>
      <w:r>
        <w:t xml:space="preserve"> treat the optical link as a formally documented conduit between an OT zone and an IT zone; the receiver host belongs in a DMZ-like landing zone, not the general IT LAN. Target SL 2–3 per 62443-3-3 depending on consequence analysis.</w:t>
      </w:r>
    </w:p>
    <w:p>
      <w:pPr>
        <w:pStyle w:val="ListBullet"/>
      </w:pPr>
      <w:r>
        <w:rPr>
          <w:b/>
        </w:rPr>
        <w:t>Physical control of the optical corridor</w:t>
      </w:r>
      <w:r>
        <w:t xml:space="preserve"> is a real security dependency: F-06 (injection) and F-01 (filming) are both physical-access attacks. Enclose the screen/camera pair (light-tight cabinet or controlled room); an enclosure simultaneously removes the shoulder-surf, projector-injection and ambient-light-DoS classes.</w:t>
      </w:r>
    </w:p>
    <w:p>
      <w:pPr>
        <w:pStyle w:val="ListBullet"/>
      </w:pPr>
      <w:r>
        <w:rPr>
          <w:b/>
        </w:rPr>
        <w:t>Host hardening:</w:t>
      </w:r>
      <w:r>
        <w:t xml:space="preserve"> dedicated non-admin accounts per app; no interactive logon on the receiver beyond the operator role; disable removable media on the receiver except the audited ceremony workflow; BitLocker on both hosts (the quarantine store and journal are cleartext at rest by design — the payload store is </w:t>
      </w:r>
      <w:r>
        <w:rPr>
          <w:i/>
        </w:rPr>
        <w:t>deliberately</w:t>
      </w:r>
      <w:r>
        <w:t xml:space="preserve"> plaintext for downstream AV/scanning, so full-disk encryption is the compensating control).</w:t>
      </w:r>
    </w:p>
    <w:p>
      <w:pPr>
        <w:pStyle w:val="ListBullet"/>
      </w:pPr>
      <w:r>
        <w:rPr>
          <w:b/>
        </w:rPr>
        <w:t>Detection pipeline:</w:t>
      </w:r>
      <w:r>
        <w:t xml:space="preserve"> the receiver's </w:t>
      </w:r>
      <w:r>
        <w:rPr>
          <w:rFonts w:ascii="Consolas" w:hAnsi="Consolas"/>
          <w:color w:val="8B2F2F"/>
          <w:sz w:val="19"/>
        </w:rPr>
        <w:t>audit\*.jsonl</w:t>
      </w:r>
      <w:r>
        <w:t xml:space="preserve"> and </w:t>
      </w:r>
      <w:r>
        <w:rPr>
          <w:rFonts w:ascii="Consolas" w:hAnsi="Consolas"/>
          <w:color w:val="8B2F2F"/>
          <w:sz w:val="19"/>
        </w:rPr>
        <w:t>payload_index</w:t>
      </w:r>
      <w:r>
        <w:t xml:space="preserve"> (rejections included — the schema records them, which is unusually good) are SIEM-ready JSONL/SQLite. Ship them (IT side has network; the </w:t>
      </w:r>
      <w:r>
        <w:rPr>
          <w:i/>
        </w:rPr>
        <w:t>app</w:t>
      </w:r>
      <w:r>
        <w:t xml:space="preserve"> rightly does not). Alert on: unknown-sender-key rejections (someone is pointing an unprovisioned or forged stream at your camera), replay verdicts, signature failures, symbol-conflict events once F-06c lands, </w:t>
      </w:r>
      <w:r>
        <w:rPr>
          <w:rFonts w:ascii="Consolas" w:hAnsi="Consolas"/>
          <w:color w:val="8B2F2F"/>
          <w:sz w:val="19"/>
        </w:rPr>
        <w:t>verified</w:t>
      </w:r>
      <w:r>
        <w:t>-without-file rows, audit-chain verification failures on a schedule.</w:t>
      </w:r>
    </w:p>
    <w:p>
      <w:pPr>
        <w:pStyle w:val="ListBullet"/>
      </w:pPr>
      <w:r>
        <w:rPr>
          <w:b/>
        </w:rPr>
        <w:t>AV/CDR integration:</w:t>
      </w:r>
      <w:r>
        <w:t xml:space="preserve"> the quarantine layout (one file + </w:t>
      </w:r>
      <w:r>
        <w:rPr>
          <w:rFonts w:ascii="Consolas" w:hAnsi="Consolas"/>
          <w:color w:val="8B2F2F"/>
          <w:sz w:val="19"/>
        </w:rPr>
        <w:t>.meta.json</w:t>
      </w:r>
      <w:r>
        <w:t xml:space="preserve"> sidecar, readable without the app) was explicitly designed for downstream scanning — wire the store root into scheduled AV/content-disarm before payloads are consumed by IT systems, especially for the </w:t>
      </w:r>
      <w:r>
        <w:rPr>
          <w:rFonts w:ascii="Consolas" w:hAnsi="Consolas"/>
          <w:color w:val="8B2F2F"/>
          <w:sz w:val="19"/>
        </w:rPr>
        <w:t>File</w:t>
      </w:r>
      <w:r>
        <w:t xml:space="preserve"> content kind. For the stated XML/JSON-only production profile, consider </w:t>
      </w:r>
      <w:r>
        <w:rPr>
          <w:b/>
        </w:rPr>
        <w:t>disabling the opaque-file kind operationally</w:t>
      </w:r>
      <w:r>
        <w:t xml:space="preserve"> (schema validation of the two expected transaction schemas would be a strong addition to the content gate).</w:t>
      </w:r>
    </w:p>
    <w:p>
      <w:pPr>
        <w:pStyle w:val="ListBullet"/>
      </w:pPr>
      <w:r>
        <w:rPr>
          <w:b/>
        </w:rPr>
        <w:t>Time:</w:t>
      </w:r>
      <w:r>
        <w:t xml:space="preserve"> the anti-replay window is enforced by the receiver's clock against the sender's claimed timestamp. Give both zones authenticated, independent time (NTS or GPS-disciplined per 800-82); monitor skew.</w:t>
      </w:r>
    </w:p>
    <w:p>
      <w:pPr>
        <w:pStyle w:val="ListBullet"/>
      </w:pPr>
      <w:r>
        <w:rPr>
          <w:b/>
        </w:rPr>
        <w:t>Ceremony discipline:</w:t>
      </w:r>
      <w:r>
        <w:t xml:space="preserve"> the fingerprint-comparison step is the trust anchor for everything else. Script it, log it (signed ceremony record, two-person rule), and never let a bundle enter the trust directory outside it (enforced technically after F-03).</w:t>
      </w:r>
    </w:p>
    <w:p>
      <w:pPr>
        <w:pStyle w:val="ListBullet"/>
      </w:pPr>
      <w:r>
        <w:rPr>
          <w:b/>
        </w:rPr>
        <w:t>Availability engineering:</w:t>
      </w:r>
      <w:r>
        <w:t xml:space="preserve"> the channel is lossy and unacknowledged by design; for transactional flows define an end-to-end reconciliation (e.g., daily counter-range report from OT operations vs receiver archive totals — the archive's per-type tallies and totals were built for exactly this comparison).</w:t>
      </w:r>
    </w:p>
    <w:p>
      <w:pPr>
        <w:pStyle w:val="Heading1"/>
      </w:pPr>
      <w:r>
        <w:t>9. Methodology and limitations</w:t>
      </w:r>
    </w:p>
    <w:p>
      <w:pPr>
        <w:pStyle w:val="ListBullet"/>
      </w:pPr>
      <w:r>
        <w:rPr>
          <w:b/>
        </w:rPr>
        <w:t>Read in full:</w:t>
      </w:r>
      <w:r>
        <w:t xml:space="preserve"> every </w:t>
      </w:r>
      <w:r>
        <w:rPr>
          <w:rFonts w:ascii="Consolas" w:hAnsi="Consolas"/>
          <w:color w:val="8B2F2F"/>
          <w:sz w:val="19"/>
        </w:rPr>
        <w:t>.cs</w:t>
      </w:r>
      <w:r>
        <w:t xml:space="preserve"> file in </w:t>
      </w:r>
      <w:r>
        <w:rPr>
          <w:rFonts w:ascii="Consolas" w:hAnsi="Consolas"/>
          <w:color w:val="8B2F2F"/>
          <w:sz w:val="19"/>
        </w:rPr>
        <w:t>src/</w:t>
      </w:r>
      <w:r>
        <w:t xml:space="preserve"> and </w:t>
      </w:r>
      <w:r>
        <w:rPr>
          <w:rFonts w:ascii="Consolas" w:hAnsi="Consolas"/>
          <w:color w:val="8B2F2F"/>
          <w:sz w:val="19"/>
        </w:rPr>
        <w:t>Shared/</w:t>
      </w:r>
      <w:r>
        <w:t xml:space="preserve"> (protocol core, both apps, ceremony tool), all four </w:t>
      </w:r>
      <w:r>
        <w:rPr>
          <w:rFonts w:ascii="Consolas" w:hAnsi="Consolas"/>
          <w:color w:val="8B2F2F"/>
          <w:sz w:val="19"/>
        </w:rPr>
        <w:t>.csproj</w:t>
      </w:r>
      <w:r>
        <w:t xml:space="preserve"> files, both architecture documents. Framing, crypto, fountain, pipeline, storage, capture and audit code was reviewed line-by-line; UI files were reviewed for security-relevant behavior (trust handling, storage, clipboard/export, process launches).</w:t>
      </w:r>
    </w:p>
    <w:p>
      <w:pPr>
        <w:pStyle w:val="ListBullet"/>
      </w:pPr>
      <w:r>
        <w:rPr>
          <w:b/>
        </w:rPr>
        <w:t>Executed:</w:t>
      </w:r>
      <w:r>
        <w:t xml:space="preserve"> </w:t>
      </w:r>
      <w:r>
        <w:rPr>
          <w:rFonts w:ascii="Consolas" w:hAnsi="Consolas"/>
          <w:color w:val="8B2F2F"/>
          <w:sz w:val="19"/>
        </w:rPr>
        <w:t>dotnet test tests/QrDiode.Core.Tests -c Release</w:t>
      </w:r>
      <w:r>
        <w:t xml:space="preserve"> on the review machine, 2026-08-20 — </w:t>
      </w:r>
      <w:r>
        <w:rPr>
          <w:b/>
        </w:rPr>
        <w:t>75 passed / 0 failed / 0 skipped</w:t>
      </w:r>
      <w:r>
        <w:t>. Test names and content were inspected to confirm they cover the claimed negative paths (tamper, replay, XXE, bit-flip, wrong-recipient, optical loopback).</w:t>
      </w:r>
    </w:p>
    <w:p>
      <w:pPr>
        <w:pStyle w:val="ListBullet"/>
      </w:pPr>
      <w:r>
        <w:rPr>
          <w:b/>
        </w:rPr>
        <w:t>Not performed:</w:t>
      </w:r>
      <w:r>
        <w:t xml:space="preserve"> dynamic penetration testing, fuzzing beyond the project's own corpus tests, side-channel analysis of the crypto primitives (they are BCL/CNG one-shots), physical optical-channel experiments, and review of the third-party native decoder's internals. Findings F-06 and F-08 are derived from code paths and threat reasoning, not live exploitation.</w:t>
      </w:r>
    </w:p>
    <w:p>
      <w:pPr>
        <w:pStyle w:val="ListBullet"/>
      </w:pPr>
      <w:r>
        <w:rPr>
          <w:b/>
        </w:rPr>
        <w:t>Independence of claims:</w:t>
      </w:r>
      <w:r>
        <w:t xml:space="preserve"> project documentation was used as a map, then every security claim in it was re-verified in source. Two documentation claims required qualification: "filming the screen yields ciphertext" is true for the payload but </w:t>
      </w:r>
      <w:r>
        <w:rPr>
          <w:b/>
        </w:rPr>
        <w:t>not for manifest metadata</w:t>
      </w:r>
      <w:r>
        <w:t xml:space="preserve"> (F-01), and "append-only" audit holds only against attackers without file write access (F-04).</w:t>
      </w:r>
    </w:p>
    <w:p>
      <w:r>
        <w:rPr>
          <w:i/>
          <w:color w:val="555555"/>
        </w:rPr>
        <w:t>End of review. Findings F-01 … F-13; recommendations P0-1 … P2-14. Review artifacts: this document (</w:t>
      </w:r>
      <w:r>
        <w:rPr>
          <w:rFonts w:ascii="Consolas" w:hAnsi="Consolas"/>
          <w:i/>
          <w:color w:val="555555"/>
          <w:sz w:val="19"/>
        </w:rPr>
        <w:t>docs/SECURITY_REVIEW.md</w:t>
      </w:r>
      <w:r>
        <w:rPr>
          <w:i/>
          <w:color w:val="555555"/>
        </w:rPr>
        <w:t>) and the DOCX rendering (</w:t>
      </w:r>
      <w:r>
        <w:rPr>
          <w:rFonts w:ascii="Consolas" w:hAnsi="Consolas"/>
          <w:i/>
          <w:color w:val="555555"/>
          <w:sz w:val="19"/>
        </w:rPr>
        <w:t>docs/SECURITY_REVIEW.docx</w:t>
      </w:r>
      <w:r>
        <w:rPr>
          <w:i/>
          <w:color w:val="555555"/>
        </w:rPr>
        <w:t>).</w:t>
      </w:r>
    </w:p>
    <w:sectPr w:rsidR="00FC693F" w:rsidRPr="0006063C" w:rsidSect="00034616">
      <w:footerReference w:type="default" r:id="rId9"/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QrDiode Security Review v1 (as-built)  ·  page </w:t>
    </w:r>
    <w:r>
      <w:rPr>
        <w:color w:val="555555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555"/>
        <w:sz w:val="16"/>
      </w:rPr>
      <w:t xml:space="preserve"> of </w:t>
    </w:r>
    <w:r>
      <w:rPr>
        <w:color w:val="555555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