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AeriIQ — AI Smart Ventilation &amp; Indoor Air-Quality System</w:t>
      </w:r>
    </w:p>
    <w:p>
      <w:pPr>
        <w:spacing w:after="120"/>
      </w:pPr>
      <w:r>
        <w:rPr>
          <w:color w:val="444444"/>
          <w:sz w:val="24"/>
          <w:szCs w:val="24"/>
        </w:rPr>
        <w:t xml:space="preserve">Technical Report — components, wiring, code, installation and use</w:t>
      </w:r>
    </w:p>
    <w:p>
      <w:pPr>
        <w:spacing w:after="120"/>
      </w:pPr>
      <w:r>
        <w:rPr>
          <w:i/>
          <w:iCs/>
          <w:color w:val="666666"/>
        </w:rPr>
        <w:t xml:space="preserve">Prepared by Ibtisam Rafiq  |  13 September 2026</w:t>
      </w:r>
    </w:p>
    <w:p>
      <w:pPr>
        <w:pBdr>
          <w:bottom w:val="single" w:color="1F3864" w:sz="8"/>
        </w:pBdr>
        <w:spacing w:after="200"/>
      </w:pPr>
    </w:p>
    <w:p>
      <w:pPr>
        <w:pStyle w:val="Heading1"/>
        <w:spacing w:after="120" w:before="280"/>
      </w:pPr>
      <w:r>
        <w:t xml:space="preserve">1.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color="auto" w:val="clear"/>
            <w:tcMar>
              <w:top w:type="dxa" w:w="60"/>
              <w:left w:type="dxa" w:w="100"/>
              <w:bottom w:type="dxa" w:w="60"/>
              <w:right w:type="dxa" w:w="100"/>
            </w:tcMar>
          </w:tcPr>
          <w:p>
            <w:r>
              <w:rPr>
                <w:b/>
                <w:bCs/>
                <w:color w:val="FFFFFF"/>
                <w:sz w:val="19"/>
                <w:szCs w:val="19"/>
              </w:rPr>
              <w:t xml:space="preserve">Item</w:t>
            </w:r>
          </w:p>
        </w:tc>
        <w:tc>
          <w:tcPr>
            <w:tcW w:type="dxa" w:w="6560"/>
            <w:shd w:fill="1F3864" w:color="auto" w:val="clear"/>
            <w:tcMar>
              <w:top w:type="dxa" w:w="60"/>
              <w:left w:type="dxa" w:w="100"/>
              <w:bottom w:type="dxa" w:w="60"/>
              <w:right w:type="dxa" w:w="100"/>
            </w:tcMar>
          </w:tcPr>
          <w:p>
            <w:r>
              <w:rPr>
                <w:b/>
                <w:bCs/>
                <w:color w:val="FFFFFF"/>
                <w:sz w:val="19"/>
                <w:szCs w:val="19"/>
              </w:rPr>
              <w:t xml:space="preserve">Detail</w:t>
            </w:r>
          </w:p>
        </w:tc>
      </w:tr>
      <w:tr>
        <w:trPr>
          <w:tblHeader w:val="false"/>
        </w:trPr>
        <w:tc>
          <w:tcPr>
            <w:tcW w:type="dxa" w:w="2800"/>
            <w:tcMar>
              <w:top w:type="dxa" w:w="60"/>
              <w:left w:type="dxa" w:w="100"/>
              <w:bottom w:type="dxa" w:w="60"/>
              <w:right w:type="dxa" w:w="100"/>
            </w:tcMar>
          </w:tcPr>
          <w:p>
            <w:r>
              <w:rPr>
                <w:b w:val="false"/>
                <w:bCs w:val="false"/>
                <w:sz w:val="19"/>
                <w:szCs w:val="19"/>
              </w:rPr>
              <w:t xml:space="preserve">Current status</w:t>
            </w:r>
          </w:p>
        </w:tc>
        <w:tc>
          <w:tcPr>
            <w:tcW w:type="dxa" w:w="6560"/>
            <w:tcMar>
              <w:top w:type="dxa" w:w="60"/>
              <w:left w:type="dxa" w:w="100"/>
              <w:bottom w:type="dxa" w:w="60"/>
              <w:right w:type="dxa" w:w="100"/>
            </w:tcMar>
          </w:tcPr>
          <w:p>
            <w:r>
              <w:rPr>
                <w:b w:val="false"/>
                <w:bCs w:val="false"/>
                <w:sz w:val="19"/>
                <w:szCs w:val="19"/>
              </w:rPr>
              <w:t xml:space="preserve">Starting now — design, wiring and code base complete</w:t>
            </w:r>
          </w:p>
        </w:tc>
      </w:tr>
      <w:tr>
        <w:trPr>
          <w:tblHeader w:val="false"/>
        </w:trPr>
        <w:tc>
          <w:tcPr>
            <w:tcW w:type="dxa" w:w="2800"/>
            <w:tcMar>
              <w:top w:type="dxa" w:w="60"/>
              <w:left w:type="dxa" w:w="100"/>
              <w:bottom w:type="dxa" w:w="60"/>
              <w:right w:type="dxa" w:w="100"/>
            </w:tcMar>
          </w:tcPr>
          <w:p>
            <w:r>
              <w:rPr>
                <w:b w:val="false"/>
                <w:bCs w:val="false"/>
                <w:sz w:val="19"/>
                <w:szCs w:val="19"/>
              </w:rPr>
              <w:t xml:space="preserve">Progress</w:t>
            </w:r>
          </w:p>
        </w:tc>
        <w:tc>
          <w:tcPr>
            <w:tcW w:type="dxa" w:w="6560"/>
            <w:tcMar>
              <w:top w:type="dxa" w:w="60"/>
              <w:left w:type="dxa" w:w="100"/>
              <w:bottom w:type="dxa" w:w="60"/>
              <w:right w:type="dxa" w:w="100"/>
            </w:tcMar>
          </w:tcPr>
          <w:p>
            <w:r>
              <w:rPr>
                <w:b w:val="false"/>
                <w:bCs w:val="false"/>
                <w:sz w:val="19"/>
                <w:szCs w:val="19"/>
              </w:rPr>
              <w:t xml:space="preserve">15%</w:t>
            </w:r>
          </w:p>
        </w:tc>
      </w:tr>
      <w:tr>
        <w:trPr>
          <w:tblHeader w:val="false"/>
        </w:trPr>
        <w:tc>
          <w:tcPr>
            <w:tcW w:type="dxa" w:w="2800"/>
            <w:tcMar>
              <w:top w:type="dxa" w:w="60"/>
              <w:left w:type="dxa" w:w="100"/>
              <w:bottom w:type="dxa" w:w="60"/>
              <w:right w:type="dxa" w:w="100"/>
            </w:tcMar>
          </w:tcPr>
          <w:p>
            <w:r>
              <w:rPr>
                <w:b w:val="false"/>
                <w:bCs w:val="false"/>
                <w:sz w:val="19"/>
                <w:szCs w:val="19"/>
              </w:rPr>
              <w:t xml:space="preserve">Platform</w:t>
            </w:r>
          </w:p>
        </w:tc>
        <w:tc>
          <w:tcPr>
            <w:tcW w:type="dxa" w:w="6560"/>
            <w:tcMar>
              <w:top w:type="dxa" w:w="60"/>
              <w:left w:type="dxa" w:w="100"/>
              <w:bottom w:type="dxa" w:w="60"/>
              <w:right w:type="dxa" w:w="100"/>
            </w:tcMar>
          </w:tcPr>
          <w:p>
            <w:r>
              <w:rPr>
                <w:b w:val="false"/>
                <w:bCs w:val="false"/>
                <w:sz w:val="19"/>
                <w:szCs w:val="19"/>
              </w:rPr>
              <w:t xml:space="preserve">Raspberry Pi 5 + Camera Module 3 + air-quality sensors</w:t>
            </w:r>
          </w:p>
        </w:tc>
      </w:tr>
    </w:tbl>
    <w:p>
      <w:pPr>
        <w:pStyle w:val="Heading1"/>
        <w:spacing w:after="120" w:before="280"/>
      </w:pPr>
      <w:r>
        <w:t xml:space="preserve">2. Problem statement</w:t>
      </w:r>
    </w:p>
    <w:p>
      <w:pPr>
        <w:spacing w:after="120"/>
      </w:pPr>
      <w:r>
        <w:t xml:space="preserve">In the UAE, buildings remain closed for most of the year due to extreme temperatures and frequent dust storms, leading to poor indoor air quality and accumulation of pollutants such as CO₂ and particulate matter. Existing ventilation and HVAC systems operate on fixed settings without real-time monitoring or adaptive control, resulting in inefficient energy use and potential health risks for occupants. An intelligent system is needed that continuously monitors indoor air conditions and dynamically adjusts ventilation based on data-driven insights.</w:t>
      </w:r>
    </w:p>
    <w:p>
      <w:pPr>
        <w:pStyle w:val="Heading1"/>
        <w:spacing w:after="120" w:before="280"/>
      </w:pPr>
      <w:r>
        <w:t xml:space="preserve">3. System overview</w:t>
      </w:r>
    </w:p>
    <w:p>
      <w:pPr>
        <w:spacing w:after="120"/>
      </w:pPr>
      <w:r>
        <w:t xml:space="preserve">AeriIQ is an AI-based smart ventilation and indoor air-quality monitoring system for UAE environments. Sensors measure CO₂, temperature, humidity and particulate matter, a camera counts occupants, and a lightweight machine-learning model predicts CO₂ fifteen minutes ahead so that ventilation starts before air quality degrades. The controller drives exhaust and fresh-air fans and a window/damper actuator, keeps the window closed when outdoor dust or heat is high, and enforces minimum run-times to save energy. Readings and decisions are logged and charted on a dashboard, demonstrating how AI and IoT combine into an energy-efficient solution supporting UAE sustainability goals.</w:t>
      </w:r>
    </w:p>
    <w:p>
      <w:pPr>
        <w:pStyle w:val="Heading1"/>
        <w:spacing w:after="120" w:before="280"/>
      </w:pPr>
      <w:r>
        <w:t xml:space="preserve">4. Components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shd w:fill="1F3864" w:color="auto" w:val="clear"/>
            <w:tcMar>
              <w:top w:type="dxa" w:w="60"/>
              <w:left w:type="dxa" w:w="100"/>
              <w:bottom w:type="dxa" w:w="60"/>
              <w:right w:type="dxa" w:w="100"/>
            </w:tcMar>
          </w:tcPr>
          <w:p>
            <w:r>
              <w:rPr>
                <w:b/>
                <w:bCs/>
                <w:color w:val="FFFFFF"/>
                <w:sz w:val="19"/>
                <w:szCs w:val="19"/>
              </w:rPr>
              <w:t xml:space="preserve">Component</w:t>
            </w:r>
          </w:p>
        </w:tc>
        <w:tc>
          <w:tcPr>
            <w:tcW w:type="dxa" w:w="900"/>
            <w:shd w:fill="1F3864" w:color="auto" w:val="clear"/>
            <w:tcMar>
              <w:top w:type="dxa" w:w="60"/>
              <w:left w:type="dxa" w:w="100"/>
              <w:bottom w:type="dxa" w:w="60"/>
              <w:right w:type="dxa" w:w="100"/>
            </w:tcMar>
          </w:tcPr>
          <w:p>
            <w:r>
              <w:rPr>
                <w:b/>
                <w:bCs/>
                <w:color w:val="FFFFFF"/>
                <w:sz w:val="19"/>
                <w:szCs w:val="19"/>
              </w:rPr>
              <w:t xml:space="preserve">Qty</w:t>
            </w:r>
          </w:p>
        </w:tc>
        <w:tc>
          <w:tcPr>
            <w:tcW w:type="dxa" w:w="5060"/>
            <w:shd w:fill="1F3864" w:color="auto" w:val="clear"/>
            <w:tcMar>
              <w:top w:type="dxa" w:w="60"/>
              <w:left w:type="dxa" w:w="100"/>
              <w:bottom w:type="dxa" w:w="60"/>
              <w:right w:type="dxa" w:w="100"/>
            </w:tcMar>
          </w:tcPr>
          <w:p>
            <w:r>
              <w:rPr>
                <w:b/>
                <w:bCs/>
                <w:color w:val="FFFFFF"/>
                <w:sz w:val="19"/>
                <w:szCs w:val="19"/>
              </w:rPr>
              <w:t xml:space="preserve">Purpose / notes</w:t>
            </w:r>
          </w:p>
        </w:tc>
      </w:tr>
      <w:tr>
        <w:trPr>
          <w:tblHeader w:val="false"/>
        </w:trPr>
        <w:tc>
          <w:tcPr>
            <w:tcW w:type="dxa" w:w="3400"/>
            <w:tcMar>
              <w:top w:type="dxa" w:w="60"/>
              <w:left w:type="dxa" w:w="100"/>
              <w:bottom w:type="dxa" w:w="60"/>
              <w:right w:type="dxa" w:w="100"/>
            </w:tcMar>
          </w:tcPr>
          <w:p>
            <w:r>
              <w:rPr>
                <w:b w:val="false"/>
                <w:bCs w:val="false"/>
                <w:sz w:val="19"/>
                <w:szCs w:val="19"/>
              </w:rPr>
              <w:t xml:space="preserve">Raspberry Pi 5 8 GB + PSU + cooler + SD</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Controller, inference, dashboard</w:t>
            </w:r>
          </w:p>
        </w:tc>
      </w:tr>
      <w:tr>
        <w:trPr>
          <w:tblHeader w:val="false"/>
        </w:trPr>
        <w:tc>
          <w:tcPr>
            <w:tcW w:type="dxa" w:w="3400"/>
            <w:tcMar>
              <w:top w:type="dxa" w:w="60"/>
              <w:left w:type="dxa" w:w="100"/>
              <w:bottom w:type="dxa" w:w="60"/>
              <w:right w:type="dxa" w:w="100"/>
            </w:tcMar>
          </w:tcPr>
          <w:p>
            <w:r>
              <w:rPr>
                <w:b w:val="false"/>
                <w:bCs w:val="false"/>
                <w:sz w:val="19"/>
                <w:szCs w:val="19"/>
              </w:rPr>
              <w:t xml:space="preserve">Camera Module 3 + cable</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Occupancy counting</w:t>
            </w:r>
          </w:p>
        </w:tc>
      </w:tr>
      <w:tr>
        <w:trPr>
          <w:tblHeader w:val="false"/>
        </w:trPr>
        <w:tc>
          <w:tcPr>
            <w:tcW w:type="dxa" w:w="3400"/>
            <w:tcMar>
              <w:top w:type="dxa" w:w="60"/>
              <w:left w:type="dxa" w:w="100"/>
              <w:bottom w:type="dxa" w:w="60"/>
              <w:right w:type="dxa" w:w="100"/>
            </w:tcMar>
          </w:tcPr>
          <w:p>
            <w:r>
              <w:rPr>
                <w:b w:val="false"/>
                <w:bCs w:val="false"/>
                <w:sz w:val="19"/>
                <w:szCs w:val="19"/>
              </w:rPr>
              <w:t xml:space="preserve">Sensirion SCD41</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NDIR CO₂/T/RH, I²C 0x62</w:t>
            </w:r>
          </w:p>
        </w:tc>
      </w:tr>
      <w:tr>
        <w:trPr>
          <w:tblHeader w:val="false"/>
        </w:trPr>
        <w:tc>
          <w:tcPr>
            <w:tcW w:type="dxa" w:w="3400"/>
            <w:tcMar>
              <w:top w:type="dxa" w:w="60"/>
              <w:left w:type="dxa" w:w="100"/>
              <w:bottom w:type="dxa" w:w="60"/>
              <w:right w:type="dxa" w:w="100"/>
            </w:tcMar>
          </w:tcPr>
          <w:p>
            <w:r>
              <w:rPr>
                <w:b w:val="false"/>
                <w:bCs w:val="false"/>
                <w:sz w:val="19"/>
                <w:szCs w:val="19"/>
              </w:rPr>
              <w:t xml:space="preserve">Plantower PMS5003 + adapter</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PM1/2.5/10, UART</w:t>
            </w:r>
          </w:p>
        </w:tc>
      </w:tr>
      <w:tr>
        <w:trPr>
          <w:tblHeader w:val="false"/>
        </w:trPr>
        <w:tc>
          <w:tcPr>
            <w:tcW w:type="dxa" w:w="3400"/>
            <w:tcMar>
              <w:top w:type="dxa" w:w="60"/>
              <w:left w:type="dxa" w:w="100"/>
              <w:bottom w:type="dxa" w:w="60"/>
              <w:right w:type="dxa" w:w="100"/>
            </w:tcMar>
          </w:tcPr>
          <w:p>
            <w:r>
              <w:rPr>
                <w:b w:val="false"/>
                <w:bCs w:val="false"/>
                <w:sz w:val="19"/>
                <w:szCs w:val="19"/>
              </w:rPr>
              <w:t xml:space="preserve">BME280</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Pressure, backup T/RH</w:t>
            </w:r>
          </w:p>
        </w:tc>
      </w:tr>
      <w:tr>
        <w:trPr>
          <w:tblHeader w:val="false"/>
        </w:trPr>
        <w:tc>
          <w:tcPr>
            <w:tcW w:type="dxa" w:w="3400"/>
            <w:tcMar>
              <w:top w:type="dxa" w:w="60"/>
              <w:left w:type="dxa" w:w="100"/>
              <w:bottom w:type="dxa" w:w="60"/>
              <w:right w:type="dxa" w:w="100"/>
            </w:tcMar>
          </w:tcPr>
          <w:p>
            <w:r>
              <w:rPr>
                <w:b w:val="false"/>
                <w:bCs w:val="false"/>
                <w:sz w:val="19"/>
                <w:szCs w:val="19"/>
              </w:rPr>
              <w:t xml:space="preserve">SSD1306 0.96" OLED</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Live readings</w:t>
            </w:r>
          </w:p>
        </w:tc>
      </w:tr>
      <w:tr>
        <w:trPr>
          <w:tblHeader w:val="false"/>
        </w:trPr>
        <w:tc>
          <w:tcPr>
            <w:tcW w:type="dxa" w:w="3400"/>
            <w:tcMar>
              <w:top w:type="dxa" w:w="60"/>
              <w:left w:type="dxa" w:w="100"/>
              <w:bottom w:type="dxa" w:w="60"/>
              <w:right w:type="dxa" w:w="100"/>
            </w:tcMar>
          </w:tcPr>
          <w:p>
            <w:r>
              <w:rPr>
                <w:b w:val="false"/>
                <w:bCs w:val="false"/>
                <w:sz w:val="19"/>
                <w:szCs w:val="19"/>
              </w:rPr>
              <w:t xml:space="preserve">2-channel relay module</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Exhaust + intake fans</w:t>
            </w:r>
          </w:p>
        </w:tc>
      </w:tr>
      <w:tr>
        <w:trPr>
          <w:tblHeader w:val="false"/>
        </w:trPr>
        <w:tc>
          <w:tcPr>
            <w:tcW w:type="dxa" w:w="3400"/>
            <w:tcMar>
              <w:top w:type="dxa" w:w="60"/>
              <w:left w:type="dxa" w:w="100"/>
              <w:bottom w:type="dxa" w:w="60"/>
              <w:right w:type="dxa" w:w="100"/>
            </w:tcMar>
          </w:tcPr>
          <w:p>
            <w:r>
              <w:rPr>
                <w:b w:val="false"/>
                <w:bCs w:val="false"/>
                <w:sz w:val="19"/>
                <w:szCs w:val="19"/>
              </w:rPr>
              <w:t xml:space="preserve">12 V fans (demo) or 220 V fans</w:t>
            </w:r>
          </w:p>
        </w:tc>
        <w:tc>
          <w:tcPr>
            <w:tcW w:type="dxa" w:w="900"/>
            <w:tcMar>
              <w:top w:type="dxa" w:w="60"/>
              <w:left w:type="dxa" w:w="100"/>
              <w:bottom w:type="dxa" w:w="60"/>
              <w:right w:type="dxa" w:w="100"/>
            </w:tcMar>
          </w:tcPr>
          <w:p>
            <w:r>
              <w:rPr>
                <w:b w:val="false"/>
                <w:bCs w:val="false"/>
                <w:sz w:val="19"/>
                <w:szCs w:val="19"/>
              </w:rPr>
              <w:t xml:space="preserve">2</w:t>
            </w:r>
          </w:p>
        </w:tc>
        <w:tc>
          <w:tcPr>
            <w:tcW w:type="dxa" w:w="5060"/>
            <w:tcMar>
              <w:top w:type="dxa" w:w="60"/>
              <w:left w:type="dxa" w:w="100"/>
              <w:bottom w:type="dxa" w:w="60"/>
              <w:right w:type="dxa" w:w="100"/>
            </w:tcMar>
          </w:tcPr>
          <w:p>
            <w:r>
              <w:rPr>
                <w:b w:val="false"/>
                <w:bCs w:val="false"/>
                <w:sz w:val="19"/>
                <w:szCs w:val="19"/>
              </w:rPr>
              <w:t xml:space="preserve"/>
            </w:r>
          </w:p>
        </w:tc>
      </w:tr>
      <w:tr>
        <w:trPr>
          <w:tblHeader w:val="false"/>
        </w:trPr>
        <w:tc>
          <w:tcPr>
            <w:tcW w:type="dxa" w:w="3400"/>
            <w:tcMar>
              <w:top w:type="dxa" w:w="60"/>
              <w:left w:type="dxa" w:w="100"/>
              <w:bottom w:type="dxa" w:w="60"/>
              <w:right w:type="dxa" w:w="100"/>
            </w:tcMar>
          </w:tcPr>
          <w:p>
            <w:r>
              <w:rPr>
                <w:b w:val="false"/>
                <w:bCs w:val="false"/>
                <w:sz w:val="19"/>
                <w:szCs w:val="19"/>
              </w:rPr>
              <w:t xml:space="preserve">MG996R servo + 5 V 3 A supply</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Window/damper</w:t>
            </w:r>
          </w:p>
        </w:tc>
      </w:tr>
      <w:tr>
        <w:trPr>
          <w:tblHeader w:val="false"/>
        </w:trPr>
        <w:tc>
          <w:tcPr>
            <w:tcW w:type="dxa" w:w="3400"/>
            <w:tcMar>
              <w:top w:type="dxa" w:w="60"/>
              <w:left w:type="dxa" w:w="100"/>
              <w:bottom w:type="dxa" w:w="60"/>
              <w:right w:type="dxa" w:w="100"/>
            </w:tcMar>
          </w:tcPr>
          <w:p>
            <w:r>
              <w:rPr>
                <w:b w:val="false"/>
                <w:bCs w:val="false"/>
                <w:sz w:val="19"/>
                <w:szCs w:val="19"/>
              </w:rPr>
              <w:t xml:space="preserve">Buzzer + red LED</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CO₂ alarm</w:t>
            </w:r>
          </w:p>
        </w:tc>
      </w:tr>
      <w:tr>
        <w:trPr>
          <w:tblHeader w:val="false"/>
        </w:trPr>
        <w:tc>
          <w:tcPr>
            <w:tcW w:type="dxa" w:w="3400"/>
            <w:tcMar>
              <w:top w:type="dxa" w:w="60"/>
              <w:left w:type="dxa" w:w="100"/>
              <w:bottom w:type="dxa" w:w="60"/>
              <w:right w:type="dxa" w:w="100"/>
            </w:tcMar>
          </w:tcPr>
          <w:p>
            <w:r>
              <w:rPr>
                <w:b w:val="false"/>
                <w:bCs w:val="false"/>
                <w:sz w:val="19"/>
                <w:szCs w:val="19"/>
              </w:rPr>
              <w:t xml:space="preserve">Ventilated enclosure</w:t>
            </w:r>
          </w:p>
        </w:tc>
        <w:tc>
          <w:tcPr>
            <w:tcW w:type="dxa" w:w="900"/>
            <w:tcMar>
              <w:top w:type="dxa" w:w="60"/>
              <w:left w:type="dxa" w:w="100"/>
              <w:bottom w:type="dxa" w:w="60"/>
              <w:right w:type="dxa" w:w="100"/>
            </w:tcMar>
          </w:tcPr>
          <w:p>
            <w:r>
              <w:rPr>
                <w:b w:val="false"/>
                <w:bCs w:val="false"/>
                <w:sz w:val="19"/>
                <w:szCs w:val="19"/>
              </w:rPr>
              <w:t xml:space="preserve">1</w:t>
            </w:r>
          </w:p>
        </w:tc>
        <w:tc>
          <w:tcPr>
            <w:tcW w:type="dxa" w:w="5060"/>
            <w:tcMar>
              <w:top w:type="dxa" w:w="60"/>
              <w:left w:type="dxa" w:w="100"/>
              <w:bottom w:type="dxa" w:w="60"/>
              <w:right w:type="dxa" w:w="100"/>
            </w:tcMar>
          </w:tcPr>
          <w:p>
            <w:r>
              <w:rPr>
                <w:b w:val="false"/>
                <w:bCs w:val="false"/>
                <w:sz w:val="19"/>
                <w:szCs w:val="19"/>
              </w:rPr>
              <w:t xml:space="preserve"/>
            </w:r>
          </w:p>
        </w:tc>
      </w:tr>
    </w:tbl>
    <w:p>
      <w:pPr>
        <w:pStyle w:val="Heading1"/>
        <w:spacing w:after="120" w:before="280"/>
      </w:pPr>
      <w:r>
        <w:t xml:space="preserve">5.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shd w:fill="1F3864" w:color="auto" w:val="clear"/>
            <w:tcMar>
              <w:top w:type="dxa" w:w="60"/>
              <w:left w:type="dxa" w:w="100"/>
              <w:bottom w:type="dxa" w:w="60"/>
              <w:right w:type="dxa" w:w="100"/>
            </w:tcMar>
          </w:tcPr>
          <w:p>
            <w:r>
              <w:rPr>
                <w:b/>
                <w:bCs/>
                <w:color w:val="FFFFFF"/>
                <w:sz w:val="19"/>
                <w:szCs w:val="19"/>
              </w:rPr>
              <w:t xml:space="preserve">Component pins</w:t>
            </w:r>
          </w:p>
        </w:tc>
        <w:tc>
          <w:tcPr>
            <w:tcW w:type="dxa" w:w="2600"/>
            <w:shd w:fill="1F3864" w:color="auto" w:val="clear"/>
            <w:tcMar>
              <w:top w:type="dxa" w:w="60"/>
              <w:left w:type="dxa" w:w="100"/>
              <w:bottom w:type="dxa" w:w="60"/>
              <w:right w:type="dxa" w:w="100"/>
            </w:tcMar>
          </w:tcPr>
          <w:p>
            <w:r>
              <w:rPr>
                <w:b/>
                <w:bCs/>
                <w:color w:val="FFFFFF"/>
                <w:sz w:val="19"/>
                <w:szCs w:val="19"/>
              </w:rPr>
              <w:t xml:space="preserve">Board pins</w:t>
            </w:r>
          </w:p>
        </w:tc>
        <w:tc>
          <w:tcPr>
            <w:tcW w:type="dxa" w:w="3360"/>
            <w:shd w:fill="1F3864" w:color="auto" w:val="clear"/>
            <w:tcMar>
              <w:top w:type="dxa" w:w="60"/>
              <w:left w:type="dxa" w:w="100"/>
              <w:bottom w:type="dxa" w:w="60"/>
              <w:right w:type="dxa" w:w="100"/>
            </w:tcMar>
          </w:tcPr>
          <w:p>
            <w:r>
              <w:rPr>
                <w:b/>
                <w:bCs/>
                <w:color w:val="FFFFFF"/>
                <w:sz w:val="19"/>
                <w:szCs w:val="19"/>
              </w:rPr>
              <w:t xml:space="preserve">Notes</w:t>
            </w:r>
          </w:p>
        </w:tc>
      </w:tr>
      <w:tr>
        <w:trPr>
          <w:tblHeader w:val="false"/>
        </w:trPr>
        <w:tc>
          <w:tcPr>
            <w:tcW w:type="dxa" w:w="3400"/>
            <w:tcMar>
              <w:top w:type="dxa" w:w="60"/>
              <w:left w:type="dxa" w:w="100"/>
              <w:bottom w:type="dxa" w:w="60"/>
              <w:right w:type="dxa" w:w="100"/>
            </w:tcMar>
          </w:tcPr>
          <w:p>
            <w:r>
              <w:rPr>
                <w:b w:val="false"/>
                <w:bCs w:val="false"/>
                <w:sz w:val="19"/>
                <w:szCs w:val="19"/>
              </w:rPr>
              <w:t xml:space="preserve">Camera ribbon</w:t>
            </w:r>
          </w:p>
        </w:tc>
        <w:tc>
          <w:tcPr>
            <w:tcW w:type="dxa" w:w="2600"/>
            <w:tcMar>
              <w:top w:type="dxa" w:w="60"/>
              <w:left w:type="dxa" w:w="100"/>
              <w:bottom w:type="dxa" w:w="60"/>
              <w:right w:type="dxa" w:w="100"/>
            </w:tcMar>
          </w:tcPr>
          <w:p>
            <w:r>
              <w:rPr>
                <w:b w:val="false"/>
                <w:bCs w:val="false"/>
                <w:sz w:val="19"/>
                <w:szCs w:val="19"/>
              </w:rPr>
              <w:t xml:space="preserve">CAM/DISP 0</w:t>
            </w:r>
          </w:p>
        </w:tc>
        <w:tc>
          <w:tcPr>
            <w:tcW w:type="dxa" w:w="3360"/>
            <w:tcMar>
              <w:top w:type="dxa" w:w="60"/>
              <w:left w:type="dxa" w:w="100"/>
              <w:bottom w:type="dxa" w:w="60"/>
              <w:right w:type="dxa" w:w="100"/>
            </w:tcMar>
          </w:tcPr>
          <w:p>
            <w:r>
              <w:rPr>
                <w:b w:val="false"/>
                <w:bCs w:val="false"/>
                <w:sz w:val="19"/>
                <w:szCs w:val="19"/>
              </w:rPr>
              <w:t xml:space="preserve">CSI</w:t>
            </w:r>
          </w:p>
        </w:tc>
      </w:tr>
      <w:tr>
        <w:trPr>
          <w:tblHeader w:val="false"/>
        </w:trPr>
        <w:tc>
          <w:tcPr>
            <w:tcW w:type="dxa" w:w="3400"/>
            <w:tcMar>
              <w:top w:type="dxa" w:w="60"/>
              <w:left w:type="dxa" w:w="100"/>
              <w:bottom w:type="dxa" w:w="60"/>
              <w:right w:type="dxa" w:w="100"/>
            </w:tcMar>
          </w:tcPr>
          <w:p>
            <w:r>
              <w:rPr>
                <w:b w:val="false"/>
                <w:bCs w:val="false"/>
                <w:sz w:val="19"/>
                <w:szCs w:val="19"/>
              </w:rPr>
              <w:t xml:space="preserve">SCD41 VDD / GND / SDA / SCL</w:t>
            </w:r>
          </w:p>
        </w:tc>
        <w:tc>
          <w:tcPr>
            <w:tcW w:type="dxa" w:w="2600"/>
            <w:tcMar>
              <w:top w:type="dxa" w:w="60"/>
              <w:left w:type="dxa" w:w="100"/>
              <w:bottom w:type="dxa" w:w="60"/>
              <w:right w:type="dxa" w:w="100"/>
            </w:tcMar>
          </w:tcPr>
          <w:p>
            <w:r>
              <w:rPr>
                <w:b w:val="false"/>
                <w:bCs w:val="false"/>
                <w:sz w:val="19"/>
                <w:szCs w:val="19"/>
              </w:rPr>
              <w:t xml:space="preserve">pins 1 / 6 / 3 / 5</w:t>
            </w:r>
          </w:p>
        </w:tc>
        <w:tc>
          <w:tcPr>
            <w:tcW w:type="dxa" w:w="3360"/>
            <w:tcMar>
              <w:top w:type="dxa" w:w="60"/>
              <w:left w:type="dxa" w:w="100"/>
              <w:bottom w:type="dxa" w:w="60"/>
              <w:right w:type="dxa" w:w="100"/>
            </w:tcMar>
          </w:tcPr>
          <w:p>
            <w:r>
              <w:rPr>
                <w:b w:val="false"/>
                <w:bCs w:val="false"/>
                <w:sz w:val="19"/>
                <w:szCs w:val="19"/>
              </w:rPr>
              <w:t xml:space="preserve">I²C 0x62</w:t>
            </w:r>
          </w:p>
        </w:tc>
      </w:tr>
      <w:tr>
        <w:trPr>
          <w:tblHeader w:val="false"/>
        </w:trPr>
        <w:tc>
          <w:tcPr>
            <w:tcW w:type="dxa" w:w="3400"/>
            <w:tcMar>
              <w:top w:type="dxa" w:w="60"/>
              <w:left w:type="dxa" w:w="100"/>
              <w:bottom w:type="dxa" w:w="60"/>
              <w:right w:type="dxa" w:w="100"/>
            </w:tcMar>
          </w:tcPr>
          <w:p>
            <w:r>
              <w:rPr>
                <w:b w:val="false"/>
                <w:bCs w:val="false"/>
                <w:sz w:val="19"/>
                <w:szCs w:val="19"/>
              </w:rPr>
              <w:t xml:space="preserve">PMS5003 VCC / GND / TX</w:t>
            </w:r>
          </w:p>
        </w:tc>
        <w:tc>
          <w:tcPr>
            <w:tcW w:type="dxa" w:w="2600"/>
            <w:tcMar>
              <w:top w:type="dxa" w:w="60"/>
              <w:left w:type="dxa" w:w="100"/>
              <w:bottom w:type="dxa" w:w="60"/>
              <w:right w:type="dxa" w:w="100"/>
            </w:tcMar>
          </w:tcPr>
          <w:p>
            <w:r>
              <w:rPr>
                <w:b w:val="false"/>
                <w:bCs w:val="false"/>
                <w:sz w:val="19"/>
                <w:szCs w:val="19"/>
              </w:rPr>
              <w:t xml:space="preserve">pins 2 / 9 / 10</w:t>
            </w:r>
          </w:p>
        </w:tc>
        <w:tc>
          <w:tcPr>
            <w:tcW w:type="dxa" w:w="3360"/>
            <w:tcMar>
              <w:top w:type="dxa" w:w="60"/>
              <w:left w:type="dxa" w:w="100"/>
              <w:bottom w:type="dxa" w:w="60"/>
              <w:right w:type="dxa" w:w="100"/>
            </w:tcMar>
          </w:tcPr>
          <w:p>
            <w:r>
              <w:rPr>
                <w:b w:val="false"/>
                <w:bCs w:val="false"/>
                <w:sz w:val="19"/>
                <w:szCs w:val="19"/>
              </w:rPr>
              <w:t xml:space="preserve">UART 9600</w:t>
            </w:r>
          </w:p>
        </w:tc>
      </w:tr>
      <w:tr>
        <w:trPr>
          <w:tblHeader w:val="false"/>
        </w:trPr>
        <w:tc>
          <w:tcPr>
            <w:tcW w:type="dxa" w:w="3400"/>
            <w:tcMar>
              <w:top w:type="dxa" w:w="60"/>
              <w:left w:type="dxa" w:w="100"/>
              <w:bottom w:type="dxa" w:w="60"/>
              <w:right w:type="dxa" w:w="100"/>
            </w:tcMar>
          </w:tcPr>
          <w:p>
            <w:r>
              <w:rPr>
                <w:b w:val="false"/>
                <w:bCs w:val="false"/>
                <w:sz w:val="19"/>
                <w:szCs w:val="19"/>
              </w:rPr>
              <w:t xml:space="preserve">BME280 VCC / GND / SDA / SCL</w:t>
            </w:r>
          </w:p>
        </w:tc>
        <w:tc>
          <w:tcPr>
            <w:tcW w:type="dxa" w:w="2600"/>
            <w:tcMar>
              <w:top w:type="dxa" w:w="60"/>
              <w:left w:type="dxa" w:w="100"/>
              <w:bottom w:type="dxa" w:w="60"/>
              <w:right w:type="dxa" w:w="100"/>
            </w:tcMar>
          </w:tcPr>
          <w:p>
            <w:r>
              <w:rPr>
                <w:b w:val="false"/>
                <w:bCs w:val="false"/>
                <w:sz w:val="19"/>
                <w:szCs w:val="19"/>
              </w:rPr>
              <w:t xml:space="preserve">pins 17 / 14 / 3 / 5</w:t>
            </w:r>
          </w:p>
        </w:tc>
        <w:tc>
          <w:tcPr>
            <w:tcW w:type="dxa" w:w="3360"/>
            <w:tcMar>
              <w:top w:type="dxa" w:w="60"/>
              <w:left w:type="dxa" w:w="100"/>
              <w:bottom w:type="dxa" w:w="60"/>
              <w:right w:type="dxa" w:w="100"/>
            </w:tcMar>
          </w:tcPr>
          <w:p>
            <w:r>
              <w:rPr>
                <w:b w:val="false"/>
                <w:bCs w:val="false"/>
                <w:sz w:val="19"/>
                <w:szCs w:val="19"/>
              </w:rPr>
              <w:t xml:space="preserve">I²C 0x76</w:t>
            </w:r>
          </w:p>
        </w:tc>
      </w:tr>
      <w:tr>
        <w:trPr>
          <w:tblHeader w:val="false"/>
        </w:trPr>
        <w:tc>
          <w:tcPr>
            <w:tcW w:type="dxa" w:w="3400"/>
            <w:tcMar>
              <w:top w:type="dxa" w:w="60"/>
              <w:left w:type="dxa" w:w="100"/>
              <w:bottom w:type="dxa" w:w="60"/>
              <w:right w:type="dxa" w:w="100"/>
            </w:tcMar>
          </w:tcPr>
          <w:p>
            <w:r>
              <w:rPr>
                <w:b w:val="false"/>
                <w:bCs w:val="false"/>
                <w:sz w:val="19"/>
                <w:szCs w:val="19"/>
              </w:rPr>
              <w:t xml:space="preserve">OLED VCC / GND / SDA / SCL</w:t>
            </w:r>
          </w:p>
        </w:tc>
        <w:tc>
          <w:tcPr>
            <w:tcW w:type="dxa" w:w="2600"/>
            <w:tcMar>
              <w:top w:type="dxa" w:w="60"/>
              <w:left w:type="dxa" w:w="100"/>
              <w:bottom w:type="dxa" w:w="60"/>
              <w:right w:type="dxa" w:w="100"/>
            </w:tcMar>
          </w:tcPr>
          <w:p>
            <w:r>
              <w:rPr>
                <w:b w:val="false"/>
                <w:bCs w:val="false"/>
                <w:sz w:val="19"/>
                <w:szCs w:val="19"/>
              </w:rPr>
              <w:t xml:space="preserve">pins 1 / 20 / 3 / 5</w:t>
            </w:r>
          </w:p>
        </w:tc>
        <w:tc>
          <w:tcPr>
            <w:tcW w:type="dxa" w:w="3360"/>
            <w:tcMar>
              <w:top w:type="dxa" w:w="60"/>
              <w:left w:type="dxa" w:w="100"/>
              <w:bottom w:type="dxa" w:w="60"/>
              <w:right w:type="dxa" w:w="100"/>
            </w:tcMar>
          </w:tcPr>
          <w:p>
            <w:r>
              <w:rPr>
                <w:b w:val="false"/>
                <w:bCs w:val="false"/>
                <w:sz w:val="19"/>
                <w:szCs w:val="19"/>
              </w:rPr>
              <w:t xml:space="preserve">I²C 0x3C</w:t>
            </w:r>
          </w:p>
        </w:tc>
      </w:tr>
      <w:tr>
        <w:trPr>
          <w:tblHeader w:val="false"/>
        </w:trPr>
        <w:tc>
          <w:tcPr>
            <w:tcW w:type="dxa" w:w="3400"/>
            <w:tcMar>
              <w:top w:type="dxa" w:w="60"/>
              <w:left w:type="dxa" w:w="100"/>
              <w:bottom w:type="dxa" w:w="60"/>
              <w:right w:type="dxa" w:w="100"/>
            </w:tcMar>
          </w:tcPr>
          <w:p>
            <w:r>
              <w:rPr>
                <w:b w:val="false"/>
                <w:bCs w:val="false"/>
                <w:sz w:val="19"/>
                <w:szCs w:val="19"/>
              </w:rPr>
              <w:t xml:space="preserve">Relay VCC / GND / IN1 / IN2</w:t>
            </w:r>
          </w:p>
        </w:tc>
        <w:tc>
          <w:tcPr>
            <w:tcW w:type="dxa" w:w="2600"/>
            <w:tcMar>
              <w:top w:type="dxa" w:w="60"/>
              <w:left w:type="dxa" w:w="100"/>
              <w:bottom w:type="dxa" w:w="60"/>
              <w:right w:type="dxa" w:w="100"/>
            </w:tcMar>
          </w:tcPr>
          <w:p>
            <w:r>
              <w:rPr>
                <w:b w:val="false"/>
                <w:bCs w:val="false"/>
                <w:sz w:val="19"/>
                <w:szCs w:val="19"/>
              </w:rPr>
              <w:t xml:space="preserve">pins 4 / 25 / 11 / 13</w:t>
            </w:r>
          </w:p>
        </w:tc>
        <w:tc>
          <w:tcPr>
            <w:tcW w:type="dxa" w:w="3360"/>
            <w:tcMar>
              <w:top w:type="dxa" w:w="60"/>
              <w:left w:type="dxa" w:w="100"/>
              <w:bottom w:type="dxa" w:w="60"/>
              <w:right w:type="dxa" w:w="100"/>
            </w:tcMar>
          </w:tcPr>
          <w:p>
            <w:r>
              <w:rPr>
                <w:b w:val="false"/>
                <w:bCs w:val="false"/>
                <w:sz w:val="19"/>
                <w:szCs w:val="19"/>
              </w:rPr>
              <w:t xml:space="preserve">GPIO17 exhaust, GPIO27 intake</w:t>
            </w:r>
          </w:p>
        </w:tc>
      </w:tr>
      <w:tr>
        <w:trPr>
          <w:tblHeader w:val="false"/>
        </w:trPr>
        <w:tc>
          <w:tcPr>
            <w:tcW w:type="dxa" w:w="3400"/>
            <w:tcMar>
              <w:top w:type="dxa" w:w="60"/>
              <w:left w:type="dxa" w:w="100"/>
              <w:bottom w:type="dxa" w:w="60"/>
              <w:right w:type="dxa" w:w="100"/>
            </w:tcMar>
          </w:tcPr>
          <w:p>
            <w:r>
              <w:rPr>
                <w:b w:val="false"/>
                <w:bCs w:val="false"/>
                <w:sz w:val="19"/>
                <w:szCs w:val="19"/>
              </w:rPr>
              <w:t xml:space="preserve">Servo signal / GND (VCC external)</w:t>
            </w:r>
          </w:p>
        </w:tc>
        <w:tc>
          <w:tcPr>
            <w:tcW w:type="dxa" w:w="2600"/>
            <w:tcMar>
              <w:top w:type="dxa" w:w="60"/>
              <w:left w:type="dxa" w:w="100"/>
              <w:bottom w:type="dxa" w:w="60"/>
              <w:right w:type="dxa" w:w="100"/>
            </w:tcMar>
          </w:tcPr>
          <w:p>
            <w:r>
              <w:rPr>
                <w:b w:val="false"/>
                <w:bCs w:val="false"/>
                <w:sz w:val="19"/>
                <w:szCs w:val="19"/>
              </w:rPr>
              <w:t xml:space="preserve">pins 12 / 30</w:t>
            </w:r>
          </w:p>
        </w:tc>
        <w:tc>
          <w:tcPr>
            <w:tcW w:type="dxa" w:w="3360"/>
            <w:tcMar>
              <w:top w:type="dxa" w:w="60"/>
              <w:left w:type="dxa" w:w="100"/>
              <w:bottom w:type="dxa" w:w="60"/>
              <w:right w:type="dxa" w:w="100"/>
            </w:tcMar>
          </w:tcPr>
          <w:p>
            <w:r>
              <w:rPr>
                <w:b w:val="false"/>
                <w:bCs w:val="false"/>
                <w:sz w:val="19"/>
                <w:szCs w:val="19"/>
              </w:rPr>
              <w:t xml:space="preserve">GPIO18 PWM</w:t>
            </w:r>
          </w:p>
        </w:tc>
      </w:tr>
      <w:tr>
        <w:trPr>
          <w:tblHeader w:val="false"/>
        </w:trPr>
        <w:tc>
          <w:tcPr>
            <w:tcW w:type="dxa" w:w="3400"/>
            <w:tcMar>
              <w:top w:type="dxa" w:w="60"/>
              <w:left w:type="dxa" w:w="100"/>
              <w:bottom w:type="dxa" w:w="60"/>
              <w:right w:type="dxa" w:w="100"/>
            </w:tcMar>
          </w:tcPr>
          <w:p>
            <w:r>
              <w:rPr>
                <w:b w:val="false"/>
                <w:bCs w:val="false"/>
                <w:sz w:val="19"/>
                <w:szCs w:val="19"/>
              </w:rPr>
              <w:t xml:space="preserve">Buzzer + / LED + / −</w:t>
            </w:r>
          </w:p>
        </w:tc>
        <w:tc>
          <w:tcPr>
            <w:tcW w:type="dxa" w:w="2600"/>
            <w:tcMar>
              <w:top w:type="dxa" w:w="60"/>
              <w:left w:type="dxa" w:w="100"/>
              <w:bottom w:type="dxa" w:w="60"/>
              <w:right w:type="dxa" w:w="100"/>
            </w:tcMar>
          </w:tcPr>
          <w:p>
            <w:r>
              <w:rPr>
                <w:b w:val="false"/>
                <w:bCs w:val="false"/>
                <w:sz w:val="19"/>
                <w:szCs w:val="19"/>
              </w:rPr>
              <w:t xml:space="preserve">pins 15 / 16 / 34</w:t>
            </w:r>
          </w:p>
        </w:tc>
        <w:tc>
          <w:tcPr>
            <w:tcW w:type="dxa" w:w="3360"/>
            <w:tcMar>
              <w:top w:type="dxa" w:w="60"/>
              <w:left w:type="dxa" w:w="100"/>
              <w:bottom w:type="dxa" w:w="60"/>
              <w:right w:type="dxa" w:w="100"/>
            </w:tcMar>
          </w:tcPr>
          <w:p>
            <w:r>
              <w:rPr>
                <w:b w:val="false"/>
                <w:bCs w:val="false"/>
                <w:sz w:val="19"/>
                <w:szCs w:val="19"/>
              </w:rPr>
              <w:t xml:space="preserve">GPIO22, GPIO23</w:t>
            </w:r>
          </w:p>
        </w:tc>
      </w:tr>
    </w:tbl>
    <w:p>
      <w:pPr>
        <w:jc w:val="center"/>
      </w:pPr>
      <w:r>
        <w:drawing>
          <wp:inline distT="0" distB="0" distL="0" distR="0">
            <wp:extent cx="5334000" cy="595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953125"/>
                    </a:xfrm>
                    <a:prstGeom prst="rect">
                      <a:avLst/>
                    </a:prstGeom>
                  </pic:spPr>
                </pic:pic>
              </a:graphicData>
            </a:graphic>
          </wp:inline>
        </w:drawing>
      </w:r>
    </w:p>
    <w:p>
      <w:pPr>
        <w:spacing w:after="120"/>
      </w:pPr>
      <w:r>
        <w:rPr>
          <w:i/>
          <w:iCs/>
          <w:sz w:val="18"/>
          <w:szCs w:val="18"/>
        </w:rPr>
        <w:t xml:space="preserve">Figure 1 — aeriiq_wiring_diagram.png</w:t>
      </w:r>
    </w:p>
    <w:p>
      <w:pPr>
        <w:pStyle w:val="Heading1"/>
        <w:spacing w:after="120" w:before="280"/>
      </w:pPr>
      <w:r>
        <w:t xml:space="preserve">6. Software structure</w:t>
      </w:r>
    </w:p>
    <w:p>
      <w:pPr>
        <w:shd w:fill="F3F4F6" w:color="auto" w:val="clear"/>
        <w:spacing w:after="0"/>
      </w:pPr>
      <w:r>
        <w:rPr>
          <w:rFonts w:ascii="Consolas" w:cs="Consolas" w:eastAsia="Consolas" w:hAnsi="Consolas"/>
          <w:sz w:val="18"/>
          <w:szCs w:val="18"/>
        </w:rPr>
        <w:t xml:space="preserve">code/aeriiq/main.py                 read → count → predict → decide → actuate → log</w:t>
      </w:r>
    </w:p>
    <w:p>
      <w:pPr>
        <w:shd w:fill="F3F4F6" w:color="auto" w:val="clear"/>
        <w:spacing w:after="0"/>
      </w:pPr>
      <w:r>
        <w:rPr>
          <w:rFonts w:ascii="Consolas" w:cs="Consolas" w:eastAsia="Consolas" w:hAnsi="Consolas"/>
          <w:sz w:val="18"/>
          <w:szCs w:val="18"/>
        </w:rPr>
        <w:t xml:space="preserve">code/aeriiq/sensors/  scd41.py, pms5003.py, bme280.py</w:t>
      </w:r>
    </w:p>
    <w:p>
      <w:pPr>
        <w:shd w:fill="F3F4F6" w:color="auto" w:val="clear"/>
        <w:spacing w:after="0"/>
      </w:pPr>
      <w:r>
        <w:rPr>
          <w:rFonts w:ascii="Consolas" w:cs="Consolas" w:eastAsia="Consolas" w:hAnsi="Consolas"/>
          <w:sz w:val="18"/>
          <w:szCs w:val="18"/>
        </w:rPr>
        <w:t xml:space="preserve">code/aeriiq/vision/occupancy.py     YOLOv8n person counting</w:t>
      </w:r>
    </w:p>
    <w:p>
      <w:pPr>
        <w:shd w:fill="F3F4F6" w:color="auto" w:val="clear"/>
        <w:spacing w:after="0"/>
      </w:pPr>
      <w:r>
        <w:rPr>
          <w:rFonts w:ascii="Consolas" w:cs="Consolas" w:eastAsia="Consolas" w:hAnsi="Consolas"/>
          <w:sz w:val="18"/>
          <w:szCs w:val="18"/>
        </w:rPr>
        <w:t xml:space="preserve">code/aeriiq/ml/  features.py, train.py (GradientBoosting), predictor.py (15-min forecast + physics fallback)</w:t>
      </w:r>
    </w:p>
    <w:p>
      <w:pPr>
        <w:shd w:fill="F3F4F6" w:color="auto" w:val="clear"/>
        <w:spacing w:after="0"/>
      </w:pPr>
      <w:r>
        <w:rPr>
          <w:rFonts w:ascii="Consolas" w:cs="Consolas" w:eastAsia="Consolas" w:hAnsi="Consolas"/>
          <w:sz w:val="18"/>
          <w:szCs w:val="18"/>
        </w:rPr>
        <w:t xml:space="preserve">code/aeriiq/control/  policy.py (decision rules), actuators.py (relays, servo, OLED, buzzer)</w:t>
      </w:r>
    </w:p>
    <w:p>
      <w:pPr>
        <w:shd w:fill="F3F4F6" w:color="auto" w:val="clear"/>
        <w:spacing w:after="0"/>
      </w:pPr>
      <w:r>
        <w:rPr>
          <w:rFonts w:ascii="Consolas" w:cs="Consolas" w:eastAsia="Consolas" w:hAnsi="Consolas"/>
          <w:sz w:val="18"/>
          <w:szCs w:val="18"/>
        </w:rPr>
        <w:t xml:space="preserve">code/aeriiq/dashboard/  server.py, templates, static (Chart.js)</w:t>
      </w:r>
    </w:p>
    <w:p>
      <w:pPr>
        <w:shd w:fill="F3F4F6" w:color="auto" w:val="clear"/>
        <w:spacing w:after="0"/>
      </w:pPr>
      <w:r>
        <w:rPr>
          <w:rFonts w:ascii="Consolas" w:cs="Consolas" w:eastAsia="Consolas" w:hAnsi="Consolas"/>
          <w:sz w:val="18"/>
          <w:szCs w:val="18"/>
        </w:rPr>
        <w:t xml:space="preserve">code/config/settings.yaml, code/models/, code/scripts/, code/systemd/aeriiq.service</w:t>
      </w:r>
    </w:p>
    <w:p>
      <w:pPr>
        <w:shd w:fill="F3F4F6" w:color="auto" w:val="clear"/>
        <w:spacing w:after="0"/>
      </w:pPr>
      <w:r>
        <w:rPr>
          <w:rFonts w:ascii="Consolas" w:cs="Consolas" w:eastAsia="Consolas" w:hAnsi="Consolas"/>
          <w:sz w:val="18"/>
          <w:szCs w:val="18"/>
        </w:rPr>
        <w:t xml:space="preserve">code/tests/test_policy.py  (4 tests passing)</w:t>
      </w:r>
    </w:p>
    <w:p>
      <w:pPr>
        <w:spacing w:after="120"/>
      </w:pPr>
      <w:r>
        <w:t xml:space="preserve"/>
      </w:r>
    </w:p>
    <w:p>
      <w:pPr>
        <w:pStyle w:val="Heading1"/>
        <w:spacing w:after="120" w:before="280"/>
      </w:pPr>
      <w:r>
        <w:t xml:space="preserve">7. How it works</w:t>
      </w:r>
    </w:p>
    <w:p>
      <w:pPr>
        <w:pStyle w:val="ListParagraph"/>
        <w:numPr>
          <w:ilvl w:val="0"/>
          <w:numId w:val="2"/>
        </w:numPr>
        <w:spacing w:after="60"/>
      </w:pPr>
      <w:r>
        <w:t xml:space="preserve">Every 30 s the SCD41, PMS5003 and BME280 are read; every 4th sample the camera counts people.</w:t>
      </w:r>
    </w:p>
    <w:p>
      <w:pPr>
        <w:pStyle w:val="ListParagraph"/>
        <w:numPr>
          <w:ilvl w:val="0"/>
          <w:numId w:val="2"/>
        </w:numPr>
        <w:spacing w:after="60"/>
      </w:pPr>
      <w:r>
        <w:t xml:space="preserve">The predictor estimates CO₂ 15 minutes ahead (trained model, or a physics fallback of ~8 ppm per person per minute until a model exists).</w:t>
      </w:r>
    </w:p>
    <w:p>
      <w:pPr>
        <w:pStyle w:val="ListParagraph"/>
        <w:numPr>
          <w:ilvl w:val="0"/>
          <w:numId w:val="2"/>
        </w:numPr>
        <w:spacing w:after="60"/>
      </w:pPr>
      <w:r>
        <w:t xml:space="preserve">Policy: ≥ 1500 ppm → exhaust + intake + window + alarm; ≥ 1000 ppm or forecast ≥ 1500 → fans pre-emptively; PM2.5 ≥ 35 keeps the window closed; outdoor heat keeps the window closed.</w:t>
      </w:r>
    </w:p>
    <w:p>
      <w:pPr>
        <w:pStyle w:val="ListParagraph"/>
        <w:numPr>
          <w:ilvl w:val="0"/>
          <w:numId w:val="2"/>
        </w:numPr>
        <w:spacing w:after="60"/>
      </w:pPr>
      <w:r>
        <w:t xml:space="preserve">Fans stay on at least 5 minutes once started (anti-chatter, energy).</w:t>
      </w:r>
    </w:p>
    <w:p>
      <w:pPr>
        <w:pStyle w:val="ListParagraph"/>
        <w:numPr>
          <w:ilvl w:val="0"/>
          <w:numId w:val="2"/>
        </w:numPr>
        <w:spacing w:after="60"/>
      </w:pPr>
      <w:r>
        <w:t xml:space="preserve">Actuators are set, the OLED shows live values, the row is logged and the dashboard charts CO₂ against forecast.</w:t>
      </w:r>
    </w:p>
    <w:p>
      <w:pPr>
        <w:pStyle w:val="ListParagraph"/>
        <w:numPr>
          <w:ilvl w:val="0"/>
          <w:numId w:val="2"/>
        </w:numPr>
        <w:spacing w:after="60"/>
      </w:pPr>
      <w:r>
        <w:t xml:space="preserve">After a week, export_training_data.py + train.py produce the forecasting model.</w:t>
      </w:r>
    </w:p>
    <w:p>
      <w:pPr>
        <w:pStyle w:val="Heading1"/>
        <w:spacing w:after="120" w:before="280"/>
      </w:pPr>
      <w:r>
        <w:t xml:space="preserve">8. Installation</w:t>
      </w:r>
    </w:p>
    <w:p>
      <w:pPr>
        <w:shd w:fill="F3F4F6" w:color="auto" w:val="clear"/>
        <w:spacing w:after="0"/>
      </w:pPr>
      <w:r>
        <w:rPr>
          <w:rFonts w:ascii="Consolas" w:cs="Consolas" w:eastAsia="Consolas" w:hAnsi="Consolas"/>
          <w:sz w:val="18"/>
          <w:szCs w:val="18"/>
        </w:rPr>
        <w:t xml:space="preserve">bash code/scripts/setup_pi.sh       # apt, I²C/UART, venv, requirements; i2cdetect shows 0x3C, 0x62, 0x76</w:t>
      </w:r>
    </w:p>
    <w:p>
      <w:pPr>
        <w:shd w:fill="F3F4F6" w:color="auto" w:val="clear"/>
        <w:spacing w:after="0"/>
      </w:pPr>
      <w:r>
        <w:rPr>
          <w:rFonts w:ascii="Consolas" w:cs="Consolas" w:eastAsia="Consolas" w:hAnsi="Consolas"/>
          <w:sz w:val="18"/>
          <w:szCs w:val="18"/>
        </w:rPr>
        <w:t xml:space="preserve">sudo cp code/systemd/aeriiq.service /etc/systemd/system &amp;&amp; sudo systemctl enable --now aeriiq</w:t>
      </w:r>
    </w:p>
    <w:p>
      <w:pPr>
        <w:shd w:fill="F3F4F6" w:color="auto" w:val="clear"/>
        <w:spacing w:after="0"/>
      </w:pPr>
      <w:r>
        <w:rPr>
          <w:rFonts w:ascii="Consolas" w:cs="Consolas" w:eastAsia="Consolas" w:hAnsi="Consolas"/>
          <w:sz w:val="18"/>
          <w:szCs w:val="18"/>
        </w:rPr>
        <w:t xml:space="preserve"># after one week of data:</w:t>
      </w:r>
    </w:p>
    <w:p>
      <w:pPr>
        <w:shd w:fill="F3F4F6" w:color="auto" w:val="clear"/>
        <w:spacing w:after="0"/>
      </w:pPr>
      <w:r>
        <w:rPr>
          <w:rFonts w:ascii="Consolas" w:cs="Consolas" w:eastAsia="Consolas" w:hAnsi="Consolas"/>
          <w:sz w:val="18"/>
          <w:szCs w:val="18"/>
        </w:rPr>
        <w:t xml:space="preserve">python code/scripts/export_training_data.py &amp;&amp; python -m aeriiq.ml.train</w:t>
      </w:r>
    </w:p>
    <w:p>
      <w:pPr>
        <w:spacing w:after="120"/>
      </w:pPr>
      <w:r>
        <w:t xml:space="preserve"/>
      </w:r>
    </w:p>
    <w:p>
      <w:pPr>
        <w:pStyle w:val="Heading1"/>
        <w:spacing w:after="120" w:before="280"/>
      </w:pPr>
      <w:r>
        <w:t xml:space="preserve">9. How to use</w:t>
      </w:r>
    </w:p>
    <w:p>
      <w:pPr>
        <w:pStyle w:val="ListParagraph"/>
        <w:numPr>
          <w:ilvl w:val="0"/>
          <w:numId w:val="2"/>
        </w:numPr>
        <w:spacing w:after="60"/>
      </w:pPr>
      <w:r>
        <w:t xml:space="preserve">Open http://&lt;pi-ip&gt;:8080 for live values, the ventilation reason and the CO₂/forecast chart.</w:t>
      </w:r>
    </w:p>
    <w:p>
      <w:pPr>
        <w:pStyle w:val="ListParagraph"/>
        <w:numPr>
          <w:ilvl w:val="0"/>
          <w:numId w:val="2"/>
        </w:numPr>
        <w:spacing w:after="60"/>
      </w:pPr>
      <w:r>
        <w:t xml:space="preserve">The OLED at the unit shows CO₂, PM2.5, temperature, RH, occupants and which actuators are on.</w:t>
      </w:r>
    </w:p>
    <w:p>
      <w:pPr>
        <w:pStyle w:val="ListParagraph"/>
        <w:numPr>
          <w:ilvl w:val="0"/>
          <w:numId w:val="2"/>
        </w:numPr>
        <w:spacing w:after="60"/>
      </w:pPr>
      <w:r>
        <w:t xml:space="preserve">Thresholds, pins and the minimum fan run-time are in config/settings.yaml.</w:t>
      </w:r>
    </w:p>
    <w:p>
      <w:pPr>
        <w:pStyle w:val="Heading1"/>
        <w:spacing w:after="120" w:before="280"/>
      </w:pPr>
      <w:r>
        <w:t xml:space="preserve">10. How to connect</w:t>
      </w:r>
    </w:p>
    <w:p>
      <w:pPr>
        <w:pStyle w:val="ListParagraph"/>
        <w:numPr>
          <w:ilvl w:val="0"/>
          <w:numId w:val="3"/>
        </w:numPr>
        <w:spacing w:after="60"/>
      </w:pPr>
      <w:r>
        <w:t xml:space="preserve">Four I²C devices share pins 3/5 with distinct addresses; PMS5003 TX → Pi RX (pin 10) only.</w:t>
      </w:r>
    </w:p>
    <w:p>
      <w:pPr>
        <w:pStyle w:val="ListParagraph"/>
        <w:numPr>
          <w:ilvl w:val="0"/>
          <w:numId w:val="3"/>
        </w:numPr>
        <w:spacing w:after="60"/>
      </w:pPr>
      <w:r>
        <w:t xml:space="preserve">Servo on an external 5 V 3 A supply with common ground.</w:t>
      </w:r>
    </w:p>
    <w:p>
      <w:pPr>
        <w:pStyle w:val="ListParagraph"/>
        <w:numPr>
          <w:ilvl w:val="0"/>
          <w:numId w:val="3"/>
        </w:numPr>
        <w:spacing w:after="60"/>
      </w:pPr>
      <w:r>
        <w:t xml:space="preserve">Relay contacts switch the fan circuit; mains fans in an enclosure wired by a licensed electrician.</w:t>
      </w:r>
    </w:p>
    <w:p>
      <w:pPr>
        <w:pStyle w:val="Heading1"/>
        <w:spacing w:after="120" w:before="280"/>
      </w:pPr>
      <w:r>
        <w:t xml:space="preserve">11. Acceptance tests</w:t>
      </w:r>
    </w:p>
    <w:p>
      <w:pPr>
        <w:pStyle w:val="ListParagraph"/>
        <w:numPr>
          <w:ilvl w:val="0"/>
          <w:numId w:val="3"/>
        </w:numPr>
        <w:spacing w:after="60"/>
      </w:pPr>
      <w:r>
        <w:t xml:space="preserve">CO₂ within ±50 ppm of a reference meter</w:t>
      </w:r>
    </w:p>
    <w:p>
      <w:pPr>
        <w:pStyle w:val="ListParagraph"/>
        <w:numPr>
          <w:ilvl w:val="0"/>
          <w:numId w:val="3"/>
        </w:numPr>
        <w:spacing w:after="60"/>
      </w:pPr>
      <w:r>
        <w:t xml:space="preserve">Fans start within one sample of crossing 1000 ppm</w:t>
      </w:r>
    </w:p>
    <w:p>
      <w:pPr>
        <w:pStyle w:val="ListParagraph"/>
        <w:numPr>
          <w:ilvl w:val="0"/>
          <w:numId w:val="3"/>
        </w:numPr>
        <w:spacing w:after="60"/>
      </w:pPr>
      <w:r>
        <w:t xml:space="preserve">Forecast MAE &lt; 60 ppm</w:t>
      </w:r>
    </w:p>
    <w:p>
      <w:pPr>
        <w:pStyle w:val="ListParagraph"/>
        <w:numPr>
          <w:ilvl w:val="0"/>
          <w:numId w:val="3"/>
        </w:numPr>
        <w:spacing w:after="60"/>
      </w:pPr>
      <w:r>
        <w:t xml:space="preserve">Window closed when PM2.5 &gt; 35 µg/m³</w:t>
      </w:r>
    </w:p>
    <w:p>
      <w:pPr>
        <w:pStyle w:val="ListParagraph"/>
        <w:numPr>
          <w:ilvl w:val="0"/>
          <w:numId w:val="3"/>
        </w:numPr>
        <w:spacing w:after="60"/>
      </w:pPr>
      <w:r>
        <w:t xml:space="preserve">Fan run-time reduced vs fixed schedule with CO₂ &lt; 1000 ppm 95 % of occupied time</w:t>
      </w:r>
    </w:p>
    <w:p>
      <w:pPr>
        <w:pStyle w:val="Heading1"/>
        <w:spacing w:after="120" w:before="280"/>
      </w:pPr>
      <w:r>
        <w:t xml:space="preserve">12. Next steps</w:t>
      </w:r>
    </w:p>
    <w:p>
      <w:pPr>
        <w:pStyle w:val="ListParagraph"/>
        <w:numPr>
          <w:ilvl w:val="0"/>
          <w:numId w:val="2"/>
        </w:numPr>
        <w:spacing w:after="60"/>
      </w:pPr>
      <w:r>
        <w:t xml:space="preserve">Order hardware; enable I²C/UART; verify the three I²C addresses.</w:t>
      </w:r>
    </w:p>
    <w:p>
      <w:pPr>
        <w:pStyle w:val="ListParagraph"/>
        <w:numPr>
          <w:ilvl w:val="0"/>
          <w:numId w:val="2"/>
        </w:numPr>
        <w:spacing w:after="60"/>
      </w:pPr>
      <w:r>
        <w:t xml:space="preserve">Bring up each sensor and the OLED; log to SQLite; verify the dashboard.</w:t>
      </w:r>
    </w:p>
    <w:p>
      <w:pPr>
        <w:pStyle w:val="ListParagraph"/>
        <w:numPr>
          <w:ilvl w:val="0"/>
          <w:numId w:val="2"/>
        </w:numPr>
        <w:spacing w:after="60"/>
      </w:pPr>
      <w:r>
        <w:t xml:space="preserve">Add occupancy counting; wire the 12 V fans and servo; confirm the policy tests pass on real data.</w:t>
      </w:r>
    </w:p>
    <w:p>
      <w:pPr>
        <w:pStyle w:val="ListParagraph"/>
        <w:numPr>
          <w:ilvl w:val="0"/>
          <w:numId w:val="2"/>
        </w:numPr>
        <w:spacing w:after="60"/>
      </w:pPr>
      <w:r>
        <w:t xml:space="preserve">Collect one week of classroom data; train the forecast model; evaluate MAE.</w:t>
      </w:r>
    </w:p>
    <w:p>
      <w:pPr>
        <w:pStyle w:val="ListParagraph"/>
        <w:numPr>
          <w:ilvl w:val="0"/>
          <w:numId w:val="2"/>
        </w:numPr>
        <w:spacing w:after="60"/>
      </w:pPr>
      <w:r>
        <w:t xml:space="preserve">Run a 3-day energy comparison against a fixed schedule; write the final report.</w:t>
      </w:r>
    </w:p>
    <w:p>
      <w:pPr>
        <w:pStyle w:val="Heading1"/>
        <w:spacing w:after="120" w:before="280"/>
      </w:pPr>
      <w:r>
        <w:t xml:space="preserve">13. Handover items</w:t>
      </w:r>
    </w:p>
    <w:p>
      <w:pPr>
        <w:pStyle w:val="ListParagraph"/>
        <w:numPr>
          <w:ilvl w:val="0"/>
          <w:numId w:val="3"/>
        </w:numPr>
        <w:spacing w:after="60"/>
      </w:pPr>
      <w:r>
        <w:t xml:space="preserve">Design pack, wiring diagram, code base and tests</w:t>
      </w:r>
    </w:p>
    <w:p>
      <w:pPr>
        <w:pStyle w:val="ListParagraph"/>
        <w:numPr>
          <w:ilvl w:val="0"/>
          <w:numId w:val="3"/>
        </w:numPr>
        <w:spacing w:after="60"/>
      </w:pPr>
      <w:r>
        <w:t xml:space="preserve">No hardware purchased yet</w:t>
      </w:r>
    </w:p>
    <w:p>
      <w:pPr>
        <w:spacing w:after="120"/>
      </w:pPr>
      <w:r>
        <w:t xml:space="preserve"/>
      </w:r>
    </w:p>
    <w:p>
      <w:pPr>
        <w:spacing w:after="120"/>
      </w:pPr>
      <w:r>
        <w:rPr>
          <w:i/>
          <w:iCs/>
          <w:color w:val="666666"/>
          <w:sz w:val="18"/>
          <w:szCs w:val="18"/>
        </w:rPr>
        <w:t xml:space="preserve">Prepared by Ibtisam Rafiq, 13 September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0094a056c544a8053446ff9b2e1f717d65ba4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2026-09-13T22:08:53.513Z</dcterms:created>
  <dcterms:modified xsi:type="dcterms:W3CDTF">2026-09-13T22:08:53.513Z</dcterms:modified>
</cp:coreProperties>
</file>

<file path=docProps/custom.xml><?xml version="1.0" encoding="utf-8"?>
<Properties xmlns="http://schemas.openxmlformats.org/officeDocument/2006/custom-properties" xmlns:vt="http://schemas.openxmlformats.org/officeDocument/2006/docPropsVTypes"/>
</file>