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SURGERYREADY</w:t>
      </w:r>
    </w:p>
    <w:p>
      <w:pPr>
        <w:spacing w:after="200"/>
        <w:jc w:val="center"/>
      </w:pPr>
      <w:r>
        <w:rPr>
          <w:rFonts w:ascii="Arial" w:cs="Arial" w:eastAsia="Arial" w:hAnsi="Arial"/>
          <w:color w:val="0D7C66"/>
          <w:sz w:val="32"/>
          <w:szCs w:val="32"/>
        </w:rPr>
        <w:t xml:space="preserve">Internal Algorithm &amp; Timeline Reference</w:t>
      </w:r>
    </w:p>
    <w:p>
      <w:pPr>
        <w:spacing w:after="240"/>
        <w:jc w:val="center"/>
      </w:pPr>
      <w:r>
        <w:rPr>
          <w:rFonts w:ascii="Arial" w:cs="Arial" w:eastAsia="Arial" w:hAnsi="Arial"/>
          <w:color w:val="4A6274"/>
          <w:sz w:val="24"/>
          <w:szCs w:val="24"/>
        </w:rPr>
        <w:t xml:space="preserve">Version 2.0  |  June 29,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INTERNAL — NOT FOR PATIENT DISTRIBUTION</w:t>
      </w:r>
    </w:p>
    <w:p>
      <w:pPr>
        <w:spacing w:after="40"/>
        <w:jc w:val="center"/>
      </w:pPr>
      <w:r>
        <w:rPr>
          <w:rFonts w:ascii="Arial" w:cs="Arial" w:eastAsia="Arial" w:hAnsi="Arial"/>
          <w:color w:val="4A6274"/>
          <w:sz w:val="22"/>
          <w:szCs w:val="22"/>
        </w:rPr>
        <w:t xml:space="preserve">Author: Akbar Herekar MD MPH</w:t>
      </w:r>
    </w:p>
    <w:p>
      <w:pPr>
        <w:spacing w:after="240"/>
        <w:jc w:val="center"/>
      </w:pPr>
      <w:r>
        <w:rPr>
          <w:rFonts w:ascii="Arial" w:cs="Arial" w:eastAsia="Arial" w:hAnsi="Arial"/>
          <w:color w:val="4A6274"/>
          <w:sz w:val="22"/>
          <w:szCs w:val="22"/>
        </w:rPr>
        <w:t xml:space="preserve">Platform: surgeryready.net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7C8E9B"/>
          <w:sz w:val="20"/>
          <w:szCs w:val="20"/>
        </w:rPr>
        <w:t xml:space="preserve">Source of truth: </w:t>
      </w:r>
      <w:r>
        <w:rPr>
          <w:rFonts w:ascii="Arial" w:cs="Arial" w:eastAsia="Arial" w:hAnsi="Arial"/>
          <w:i/>
          <w:iCs/>
          <w:color w:val="7C8E9B"/>
          <w:sz w:val="20"/>
          <w:szCs w:val="20"/>
        </w:rPr>
        <w:t xml:space="preserve">src/App.jsx — generatePlan() (lines 2866–4440), ChatIntake/PreOpPage, and src/data/timeline.js. This document mirrors the live deployed code.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System Overview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SurgeryReady is a perioperative optimization platform with a dual-track design: separate, specialized outputs for patients and physicians, generated from a single shared intake. The biological framework is hormesis — the principle that controlled, measured stress triggers adaptation and resilience.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End-to-End Data Flow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Assessment input (chat or 6-step form) →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generatePlan(data)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 → { patient[], provider[], alerts[], riskLevel } → Plan view (Patient / Provider / Both / My Timeline) → optional comprehensive PDF.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1.2 Two Output Tracks From One Generator</w:t>
      </w:r>
    </w:p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Architecture correction (changed since v1.0): generatePlan() does NOT branch on userRole. It always builds BOTH patient[] and provider[]. Role only selects which track the UI shows (viewMode, derived from userRole). Provider cards are therefore computed for every assessment and merely hidden in the patient view.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Patient Track: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Digestible, actionable prehabilitation recommendations — exercise, nutrition, fasting, thermal conditioning, sleep, self-tracking, smoking cessation, alcohol reduction, and anemia nutritional support. Accessible reading level with mechanism explanations and 'Your Target' banners.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Provider Track: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The full 34-pathway clinical engine — medication hold matrices, risk stratification tasks, lab panels, and protocol decisions written for anesthesiologist, surgeon, and CRNA workflows. Each pathway uses a structured time-window format and cites its guideline source (ASRA 5th Ed 2025, 2024 AHA/ACC, ESAIC 2025, ADA 2026, and others).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1.3 Intake Modes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After a one-time disclaimer, patients choose an intake mode; physicians are routed to form mode.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20"/>
      </w:tblGrid>
      <w:tr>
        <w:trPr>
          <w:tblHeader/>
        </w:trP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Chat with our assistant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18-question conversational intake (ChatIntake + CHAT_QUESTIONS). Quick-reply chips, multi-select, branching. Populates the same formData fields as the form. Patient-only.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Step-by-step form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Traditional 6-step form with full clinical detail. Preferred for physicians and users with lab values ready.</w:t>
            </w:r>
          </w:p>
        </w:tc>
      </w:tr>
    </w:tbl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After generation, patients can 'Refine my plan' (from the chat choice screen or the plan header) to re-enter the pre-filled 6-step form and add detail (DASI, HbA1c, eGFR, albumin, RAI, ferritin, etc.) that unlocks deeper recommendations.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1.4 Assessment Steps (Form Mode)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20"/>
      </w:tblGrid>
      <w:tr>
        <w:trPr>
          <w:tblHeader/>
        </w:trPr>
        <w:tc>
          <w:tcPr>
            <w:tcW w:type="dxa" w:w="1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Fields Collected</w:t>
            </w:r>
          </w:p>
        </w:tc>
      </w:tr>
      <w:tr>
        <w:tc>
          <w:tcPr>
            <w:tcW w:type="dxa" w:w="1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 — Patient Info</w:t>
            </w:r>
          </w:p>
        </w:tc>
        <w:tc>
          <w:tcPr>
            <w:tcW w:type="dxa" w:w="8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Role (patient/provider), first name, age, sex, height, weight, weeks until surgery.</w:t>
            </w:r>
          </w:p>
        </w:tc>
      </w:tr>
      <w:tr>
        <w:tc>
          <w:tcPr>
            <w:tcW w:type="dxa" w:w="1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 — Surgery Details</w:t>
            </w:r>
          </w:p>
        </w:tc>
        <w:tc>
          <w:tcPr>
            <w:tcW w:type="dxa" w:w="8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Surgery type, surgical risk category, surgery tags (implant, vascular, cancer, etc.), expected duration, ERAS, expected blood loss.</w:t>
            </w:r>
          </w:p>
        </w:tc>
      </w:tr>
      <w:tr>
        <w:tc>
          <w:tcPr>
            <w:tcW w:type="dxa" w:w="1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 — Medical History</w:t>
            </w:r>
          </w:p>
        </w:tc>
        <w:tc>
          <w:tcPr>
            <w:tcW w:type="dxa" w:w="8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Cardiac, respiratory, endocrine, and other conditions; RCRI inputs; anemia screening; conditional clinical detail fields gated to checkbox selections.</w:t>
            </w:r>
          </w:p>
        </w:tc>
      </w:tr>
      <w:tr>
        <w:tc>
          <w:tcPr>
            <w:tcW w:type="dxa" w:w="1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4 — Medications</w:t>
            </w:r>
          </w:p>
        </w:tc>
        <w:tc>
          <w:tcPr>
            <w:tcW w:type="dxa" w:w="8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Anticoagulants, diabetes meds (GLP-1 RA, SGLT2i, insulin), pain/OUD meds (buprenorphine, methadone, naltrexone), cardiac meds (ACEi/ARB), biologics, steroids.</w:t>
            </w:r>
          </w:p>
        </w:tc>
      </w:tr>
      <w:tr>
        <w:tc>
          <w:tcPr>
            <w:tcW w:type="dxa" w:w="1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5 — Fitness Baseline</w:t>
            </w:r>
          </w:p>
        </w:tc>
        <w:tc>
          <w:tcPr>
            <w:tcW w:type="dxa" w:w="8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Exercise level, DASI questionnaire → live VO₂max, HRV tracking, METs estimate.</w:t>
            </w:r>
          </w:p>
        </w:tc>
      </w:tr>
      <w:tr>
        <w:tc>
          <w:tcPr>
            <w:tcW w:type="dxa" w:w="1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6 — Nutrition &amp; Lifestyle</w:t>
            </w:r>
          </w:p>
        </w:tc>
        <w:tc>
          <w:tcPr>
            <w:tcW w:type="dxa" w:w="8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Protein intake, eating pattern, smoking, alcohol (PAWSS/withdrawal), thermal habits, weight loss, hemoglobin, albumin, supplements.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1.5 Output Objects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rPr>
          <w:tblHeader/>
        </w:trPr>
        <w:tc>
          <w:tcPr>
            <w:tcW w:type="dxa" w:w="22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7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Shape / Purpose</w:t>
            </w:r>
          </w:p>
        </w:tc>
      </w:tr>
      <w:tr>
        <w:tc>
          <w:tcPr>
            <w:tcW w:type="dxa" w:w="22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patient[]</w:t>
            </w:r>
          </w:p>
        </w:tc>
        <w:tc>
          <w:tcPr>
            <w:tcW w:type="dxa" w:w="7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Recommendation objects: { domain, priority, title, detail, steps[], target, learnMore }.</w:t>
            </w:r>
          </w:p>
        </w:tc>
      </w:tr>
      <w:tr>
        <w:tc>
          <w:tcPr>
            <w:tcW w:type="dxa" w:w="22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provider[]</w:t>
            </w:r>
          </w:p>
        </w:tc>
        <w:tc>
          <w:tcPr>
            <w:tcW w:type="dxa" w:w="7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Clinical task objects: { domain, priority, title, detail } — detail often built by the timedDetail() time-window formatter.</w:t>
            </w:r>
          </w:p>
        </w:tc>
      </w:tr>
      <w:tr>
        <w:tc>
          <w:tcPr>
            <w:tcW w:type="dxa" w:w="22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alerts[]</w:t>
            </w:r>
          </w:p>
        </w:tc>
        <w:tc>
          <w:tcPr>
            <w:tcW w:type="dxa" w:w="7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Urgent banners: { type: 'danger' | 'warning', text }. Danger renders red, warning amber, at the top of the plan.</w:t>
            </w:r>
          </w:p>
        </w:tc>
      </w:tr>
      <w:tr>
        <w:tc>
          <w:tcPr>
            <w:tcW w:type="dxa" w:w="22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riskLevel</w:t>
            </w:r>
          </w:p>
        </w:tc>
        <w:tc>
          <w:tcPr>
            <w:tcW w:type="dxa" w:w="7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'low' | 'elevated' | 'high' — drives the risk badge color and provider pathway depth.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Risk Stratification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riskLevel is computed at the top of generatePlan() before any domain logic. Evaluation is sequential — HIGH is tested first; if true, ELEVATED and LOW are not evaluated.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0"/>
        <w:gridCol w:w="2200"/>
      </w:tblGrid>
      <w:tr>
        <w:trPr>
          <w:tblHeader/>
        </w:trPr>
        <w:tc>
          <w:tcPr>
            <w:tcW w:type="dxa" w:w="7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Condition(s) Evaluated</w:t>
            </w:r>
          </w:p>
        </w:tc>
        <w:tc>
          <w:tcPr>
            <w:tcW w:type="dxa" w:w="22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</w:tr>
      <w:tr>
        <w:tc>
          <w:tcPr>
            <w:tcW w:type="dxa" w:w="7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riskCategory === 'high'  OR  cardiac includes 'Prior MI (within 6 months)'  OR  cardiac includes 'CHF'</w:t>
            </w:r>
          </w:p>
        </w:tc>
        <w:tc>
          <w:tcPr>
            <w:tcW w:type="dxa" w:w="22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riskCategory === 'elevated'  OR  cardiac.length &gt; 0  OR  dasiScore &lt; 34  OR  mets === 'lt4'</w:t>
            </w:r>
          </w:p>
        </w:tc>
        <w:tc>
          <w:tcPr>
            <w:tcW w:type="dxa" w:w="22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ELEVATED</w:t>
            </w:r>
          </w:p>
        </w:tc>
      </w:tr>
      <w:tr>
        <w:tc>
          <w:tcPr>
            <w:tcW w:type="dxa" w:w="7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None of the above</w:t>
            </w:r>
          </w:p>
        </w:tc>
        <w:tc>
          <w:tcPr>
            <w:tcW w:type="dxa" w:w="22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0D7C66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Any non-empty cardiac array forces at least ELEVATED. CHF or recent MI always forces HIGH regardless of the riskCategory field. riskCategory is a direct intake field (not computed) and also feeds majorSurgery / surgeryMagnitude downstream (VTE scoring, steroid dosing).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DASI → VO₂max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DASI (Duke Activity Status Index) score &lt; 34 is the cutoff for elevated risk, corresponding to roughly &lt; 4 METs. VO₂max = (0.43 × DASI) + 9.6 mL/kg/min. The questionnaire computes VO₂max live and displays it in a modal.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Alert Triggers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Alerts appear as colored banners at the top of the plan. The first block (1–10) is generated up front; a second block (11–16, the 'NEW ALERTS' added with the expanded engine) is appended later but lives in the same alerts[] array.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300"/>
        <w:gridCol w:w="3500"/>
      </w:tblGrid>
      <w:tr>
        <w:trPr>
          <w:tblHeader/>
        </w:trP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Summary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GLP-1 RA detected AND glp1GI === 'active'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Active GI symptoms on GLP-1 RA — consider delaying. Liquid diet 24h before, point-of-care gastric ultrasound on DOS, consider RSI.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hasSGLT2 (any SGLT2 inhibitor)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Hold SGLT2i 3–4 days before surgery. Monitor ketones. Risk of euglycemic DKA.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includes 'Prior MI (within 6 months)'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MI within 6 months — optimal to wait ≥60 days for elective NCS (2024 AHA/ACC Class 1).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OR allConditions includes 'Prior stroke'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Delay elective NCS ≥9 months if possible (Class 2b). &lt; 3 months = high recurrent-event risk.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other includes 'History of MH'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Malignant hyperthermia history — dantrolene availability, MHAUS consult, avoid triggering agents.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weightLoss === 'significant' OR albumin &lt; 3.0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Malnutrition risk — consider 7–14 day preoperative nutritional supplementation.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hemoglobin &lt; 8 g/dL (entered value)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Severe anemia — consider preoperative transfusion and hematology consult. Defer elective surgery if possible.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smokingStatus === 'current' AND cigPerDay ≥ 20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Heavy smoker — elevated pulmonary complications, wound infection, impaired healing.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withdrawalHistory === 'yes'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Alcohol withdrawal history (seizures/DTs) — withdrawal-prevention protocol; do NOT stop alcohol abruptly without supervision.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alcoholUse === 'heavy'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Heavy alcohol use (&gt; 14 drinks/week) — supervised cessation ≥4 weeks before surgery.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cardiacEventMonths === '&lt;3'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event &lt; 3 months — elective surgery contraindicated (Class 1: ≥60 days since MI).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strokeMonths === '&lt;3'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Stroke / TIA &lt; 3 months — delay elective surgery ≥3 months (Class 2a).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HbA1c &gt; 9.0%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Exceeds 9.0% threshold — defer elective surgery and optimize glycemia (ADA). Target ≤ 8.5%.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14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childPugh === 'C'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Child-Pugh C cirrhosis — elective surgery contraindicated (mortality &gt; 50% if MELD &gt; 20).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15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pulmonary HTN AND major surgery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PH + major surgery — PH-center referral (Class 2a); inhaled NO available.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16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pheochromocytoma AND alphaBlockadeStarted === 'no'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Pheochromocytoma without alpha-blockade — DO NOT proceed. Beta-blockade only AFTER alpha.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Patient Track — Decision Trees by Domain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Each domain is evaluated independently; multiple cards can be active. Derived inputs: weeks = parseInt(weeksUntil) || 4; weightKg = weight × 0.453592 (default 80); proteinTarget = (weightKg × 1.5) g/day.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Exercise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Gate: unsafeForExercise = cardiac includes 'Prior MI (within 6 months)' OR allConditions includes 'Uncontrolled HTN (DBP &gt;110)'.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Condition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unsafeForExercise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Exercise — Physician Clearance Required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safe + sedentary + weeks ≥ 4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Prehabilitation Program — Start Immediately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safe + light + weeks ≥ 4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Increase Exercise Intensity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safe + moderate + weeks ≥ 4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Optimize Training for Surgery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safe + active/high + weeks ≥ 4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Maintain Fitness, Taper Before Surgery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safe + any level + weeks &lt; 4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Accelerated Prehab ({weeks} weeks available)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Nutrition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Condition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Protein Target: {weightKg×1.5}g/day (1.5 g/kg)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surgeryTags 'Cancer resection' OR other 'Active cancer/chemo'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Immunonutrition Recommended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Preoperative Carbohydrate Loading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Carb loading: 800 mL the evening before + 400 mL 2–3h before surgery.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 Metabolic Prep / Fasting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isDiabetic = endocrine includes any 'Diabetes' or 'HbA1c' entry.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Condition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!isDiabetic AND weeks ≥ 3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Consider Strategic Intermittent Fasting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isDiabetic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Fasting Protocol — Not Recommended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!isDiabetic AND weeks &lt; 3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(no card)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4.4 Thermal Conditioning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Gate: thermalContraindicated = cardiac includes CAD/Angina, Prior MI (within 6 months), Uncontrolled HTN (DBP &gt;110), or Cardiomyopathy/HCM.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Condition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!contraindicated + weeks ≥ 4 + no current thermal habits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Consider Gradual Thermal Conditioning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!contraindicated + weeks ≥ 4 + has thermal habits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Continue Thermal Conditioning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thermalContraindicated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Thermal Conditioning — Contraindicated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!contraindicated + weeks &lt; 4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(no card)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4.5 Stress &amp; Sleep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Condition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Sleep Optimization &amp; Stress Reduction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4.6 Self-Tracking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Condition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tracksHRV === 'yes' (detail branches by HRV band: &lt;20 / &lt;40 / &lt;70 / ≥70 ms)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Track HRV Trend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Weekly Readiness Check-In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4.7 Smoking Cessation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Condition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current + weeks ≥ 8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Quit Smoking Now — Ideal Window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current + weeks 4–7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Quit Smoking — Meaningful Benefit Still Achievable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current + weeks &lt; 4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Stop Smoking — Even 24–48 Hours Helps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former_lt8 (quit &lt; 8 wk ago)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Stay Smoke-Free — You're in the Recovery Window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never / former_gt8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(no card)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4.8 Alcohol Use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Condition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heavy (&gt; 14 drinks/wk)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Alcohol Cessation — Critical for Safety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moderate (8–14/wk)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Reduce and Stop Alcohol Before Surgery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light (1–7/wk)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Stop Alcohol ≥48 Hours Before Surgery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none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(no card)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4.9 Anemia — Patient Track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Gate: other includes 'Anemia (Hgb &lt;13)' OR entered hemoglobin &lt; 13 g/dL.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Condition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hasAnemiaCondition OR hgb &lt; 13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Iron-Rich Diet for Anemia Correction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The patient card is the same regardless of severity — severity tiers drive the provider track. Detail appends the entered Hgb value when present.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Provider Track — 34 Clinical Pathways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The provider engine emits clinically precise cards across eight sections. Detail bodies use the timedDetail() formatter, which renders ordered windows: ≥8 WK, 4–7 WK, 1–2 WK, &lt; 1 WK, DAY OF SURGERY, READINESS, plus the cited source. Pathway numbering matches docs/SurgeryReady_Clinical_Guidelines_Master.</w:t>
      </w:r>
    </w:p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Two provider cards have no trigger and fire on every assessment: Pathway 33 (VTE / Caprini) and the Day-of-Surgery Verification Checklist.</w:t>
      </w:r>
    </w:p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Section A — Cardiovascular (Pathways 1–8) · domain: Cardiac Risk · all high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300"/>
        <w:gridCol w:w="3500"/>
      </w:tblGrid>
      <w:tr>
        <w:trPr>
          <w:tblHeader/>
        </w:trP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Guideline Source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Risk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hasCADFlag (CAD/Angina, Prior MI, Prior PCI/stent)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2024 AHA/ACC; POISE 2008; MANAGE 2018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Risk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hasHFFlag (CHF, HFrEF, HFpEF); CHF inferred as HFrEF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Heidenreich Circulation 2022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Risk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severe AS, mechanical valve, HCM, or 'Valvular disease'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2024 AHA/ACC; Otto 2021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Risk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includes 'Uncontrolled HTN (DBP &gt;110)'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2024 AHA/ACC; ESAIC 2025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Risk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hasAFFlag (Arrhythmia/AF or Atrial fibrillation/flutter)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ASRA 5th Ed 2025; BRIDGE 2015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Risk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pulmonary hypertension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Humbert Eur Heart J 2022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Risk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prior stroke / cerebrovascular / PVD (readiness by strokeMonths)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Glance JAMA Surg 2022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Risk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CIED (pacemaker / ICD)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2024 AHA/ACC; Crossley 2011</w:t>
            </w:r>
          </w:p>
        </w:tc>
      </w:tr>
    </w:tbl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Section B — Respiratory (Pathways 9–11) · domain: Respiratory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300"/>
        <w:gridCol w:w="3500"/>
      </w:tblGrid>
      <w:tr>
        <w:trPr>
          <w:tblHeader/>
        </w:trP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Guideline Source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Respiratory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COPD / emphysema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ESAIC 2025; GOLD 2025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Respiratory · med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OSA — STOP-BANG band (low/intermediate/high)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Chung Anesth Analg 2016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10b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Respiratory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respiratory includes 'Unexplained dyspnea'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2024 AHA/ACC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Respiratory · med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asthma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GINA 2024</w:t>
            </w:r>
          </w:p>
        </w:tc>
      </w:tr>
    </w:tbl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Section C — Endocrine &amp; Metabolic (Pathways 12–16)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300"/>
        <w:gridCol w:w="3500"/>
      </w:tblGrid>
      <w:tr>
        <w:trPr>
          <w:tblHeader/>
        </w:trP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Guideline Source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Endocrine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isDiabetic — A1c-tiered (Tier 1–4); see 5.1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ADA 2026; SAMBA 2024; JBDS/CPOC 2023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Medications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hasGLP1 — HIGH RISK if titrating or active GI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Multi-Society Surg Endosc 2025; SPAQI 2025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14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Medications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hasSGLT2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2024 AHA/ACC; Dixit JAMA Surg 2025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15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Endocrine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pheochromocytoma — readiness gated by alpha-blockade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Endocrine Society 2014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16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Endocrine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chronic steroid use — high if stress-dose coverage needed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Woodcock 2020; Bornstein 2016</w:t>
            </w:r>
          </w:p>
        </w:tc>
      </w:tr>
    </w:tbl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5.1 Diabetes (Pathway 12) is the largest module: it can emit up to four provider cards — the main glucose card (A1c tier 1–4), the Diabetes Medication Hold Matrix (metformin/SGLT2i/GLP-1/sulfonylurea/DPP-4i/TZD/insulin, pushed only when holdLines exist), High Hypoglycemia Risk monitoring, and Steroid-Induced Hyperglycemia — alongside the standalone GLP-1 (13) and SGLT2i (14) pathways, creating intentional overlap with the hold matrix.</w:t>
      </w:r>
    </w:p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Section D — Hematologic (Pathways 17–19)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300"/>
        <w:gridCol w:w="3500"/>
      </w:tblGrid>
      <w:tr>
        <w:trPr>
          <w:tblHeader/>
        </w:trP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Guideline Source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17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Hematologic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anemia condition, hgb &lt; 13, OR bloodLoss 'significant' — Hgb-graded title/tier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ICCAMS 2023; BSH 2024; TRICC 1999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18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Hematologic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other includes 'Sickle cell disease'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Vichinsky NEJM 1995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19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Medications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anticoag.length &gt; 0 — ASRA 5th Ed intervals; eGFR hint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Kopp ASRA 5th Ed 2025 (PMID 39880411)</w:t>
            </w:r>
          </w:p>
        </w:tc>
      </w:tr>
    </w:tbl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Section E — Substance Use (Pathways 20–22)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300"/>
        <w:gridCol w:w="3500"/>
      </w:tblGrid>
      <w:tr>
        <w:trPr>
          <w:tblHeader/>
        </w:trP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Guideline Source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20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Smoking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smokingStatus 'current' (NRT dose by cig/day); 'former_lt8' = Recent Cessation (med)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Mills 2011; Wong 2017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21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Alcohol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alcoholUse 'heavy' (CRITICAL if withdrawal history) / 'moderate' (med)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Maldonado 2015; PAWSS 2014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22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Medications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buprenorphine CONTINUE / methadone continue / naltrexone HOLD (72h or 30d XR)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ASRA/ASA/AAAM/ASAM 2021</w:t>
            </w:r>
          </w:p>
        </w:tc>
      </w:tr>
    </w:tbl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Section F — Hepatic / Renal / Rheumatologic (Pathways 23–25)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300"/>
        <w:gridCol w:w="3500"/>
      </w:tblGrid>
      <w:tr>
        <w:trPr>
          <w:tblHeader/>
        </w:trP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Guideline Source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23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Hepatic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cirrhosis — risk line by Child-Pugh A/B/C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ACG 2025; VOCAL-Penn 2020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24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Renal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CKD or dialysis-dependent ESRD (title by eGFR)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ASRA 5th Ed 2025; KDIGO 2012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25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Rheumatologic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RA or biologic meds — JAK/biologic-specific holds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Goodman ACR/AAHKS 2022</w:t>
            </w:r>
          </w:p>
        </w:tc>
      </w:tr>
    </w:tbl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Section G — Neuro / Oncologic / Geriatric / Surgery-Specific (Pathways 26–31)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300"/>
        <w:gridCol w:w="3500"/>
      </w:tblGrid>
      <w:tr>
        <w:trPr>
          <w:tblHeader/>
        </w:trP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Guideline Source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26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Neurologic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myasthenia gravis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Daum BJA Educ 2021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27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Neurologic · med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seizure disorder — continue AEDs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AES Status Epilepticus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28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Oncologic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cancer / recent chemo (&lt; 3 wk); anthracycline flag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ESC Cardio-Onc 2022; ASCO VTE 2023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29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Frailty/Age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age ≥ 75, 'Frailty/recent falls', OR RAI ≥ 37 (RAI/Mini-Cog lines)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Aldecoa 2024; Varley 2023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30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Surgery-Specific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needsImplant (joint replacement / spinal / foreign body)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AAOS/ICM 2018; AAHKS 2022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31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Surgery-Specific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surgeryTags includes 'Vascular'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CARP 2004; MANAGE 2018</w:t>
            </w:r>
          </w:p>
        </w:tc>
      </w:tr>
    </w:tbl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Section H — Cross-Cutting (Pathways 32–34)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300"/>
        <w:gridCol w:w="3500"/>
      </w:tblGrid>
      <w:tr>
        <w:trPr>
          <w:tblHeader/>
        </w:trP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Guideline Source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32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Medications · high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cardioMeds includes ACE inhibitor or ARB (HFrEF continue)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STOP-or-NOT JAMA 2024; POISE-3 2022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33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VTE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 — Caprini score computed (age/cancer/BMI/surgery/HF/stroke); high if ≥ 5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Pannucci 2020; CHEST 2012</w:t>
            </w:r>
          </w:p>
        </w:tc>
      </w:tr>
      <w:tr>
        <w:tc>
          <w:tcPr>
            <w:tcW w:type="dxa" w:w="6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34</w:t>
            </w:r>
          </w:p>
        </w:tc>
        <w:tc>
          <w:tcPr>
            <w:tcW w:type="dxa" w:w="2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Neurologic · med</w:t>
            </w:r>
          </w:p>
        </w:tc>
        <w:tc>
          <w:tcPr>
            <w:tcW w:type="dxa" w:w="33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age ≥ 65, miniCogNormal 'no', OR RAI ≥ 37</w:t>
            </w:r>
          </w:p>
        </w:tc>
        <w:tc>
          <w:tcPr>
            <w:tcW w:type="dxa" w:w="35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Aldecoa ESAIC 2024</w:t>
            </w:r>
          </w:p>
        </w:tc>
      </w:tr>
    </w:tbl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Day-of-Surgery Verification Checklist · domain: Day of Surgery · medium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Always emitted. A BASE line plus conditional additions for: cardiac, HF, SGLT2i, GLP-1 high-risk, diabetes, stress-dose steroid, anemia, sickle cell, anticoag, smoking, alcohol, OSA, RA, MG, seizure, CIED, pulmonary HTN, cirrhosis, dialysis, implant, vascular, and geriatric (age ≥ 65).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Patient Timeline (My Timeline)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The timeline is generated by src/data/timeline.js (generateTimeline(data, plan)) and rendered by src/components/TimelineView.jsx. It is forward-looking only — it starts from TODAY and emits no past phases.</w:t>
      </w:r>
    </w:p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Changed since v1.0: the timeline is no longer a fixed 7-phase model. It is dynamically generated from weeksUntil, producing between 2 and 7 phases. The renderer always treats the FIRST phase (index 0) as the current phase and tags it 'START HERE' — there is no calendar-based 'past' rendering.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6.1 Phase Set by weeksUntil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weeks = parseInt(weeksUntil) || 0 selects an entire ordered phase set (evaluated in order):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20"/>
      </w:tblGrid>
      <w:tr>
        <w:trPr>
          <w:tblHeader/>
        </w:trPr>
        <w:tc>
          <w:tcPr>
            <w:tcW w:type="dxa" w:w="17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80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Phases emitted (in order)</w:t>
            </w:r>
          </w:p>
        </w:tc>
      </w:tr>
      <w:tr>
        <w:tc>
          <w:tcPr>
            <w:tcW w:type="dxa" w:w="17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≤ 0</w:t>
            </w:r>
          </w:p>
        </w:tc>
        <w:tc>
          <w:tcPr>
            <w:tcW w:type="dxa" w:w="80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Evening Before → Surgery Day</w:t>
            </w:r>
          </w:p>
        </w:tc>
      </w:tr>
      <w:tr>
        <w:tc>
          <w:tcPr>
            <w:tcW w:type="dxa" w:w="17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&lt; 1 (&gt;0)</w:t>
            </w:r>
          </w:p>
        </w:tc>
        <w:tc>
          <w:tcPr>
            <w:tcW w:type="dxa" w:w="80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Medication Holds → Evening Before → Surgery Day</w:t>
            </w:r>
          </w:p>
        </w:tc>
      </w:tr>
      <w:tr>
        <w:tc>
          <w:tcPr>
            <w:tcW w:type="dxa" w:w="17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80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Final Week (taper) → Medication Holds → Evening Before → Surgery Day</w:t>
            </w:r>
          </w:p>
        </w:tc>
      </w:tr>
      <w:tr>
        <w:tc>
          <w:tcPr>
            <w:tcW w:type="dxa" w:w="17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80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Begin Prehab → Final Week (taper) → Medication Holds → Evening Before → Surgery Day</w:t>
            </w:r>
          </w:p>
        </w:tc>
      </w:tr>
      <w:tr>
        <w:tc>
          <w:tcPr>
            <w:tcW w:type="dxa" w:w="17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3–4</w:t>
            </w:r>
          </w:p>
        </w:tc>
        <w:tc>
          <w:tcPr>
            <w:tcW w:type="dxa" w:w="80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Begin/Build → [Build Momentum only if weeks = 4] → Taper → Med Holds → Evening Before → Surgery Day</w:t>
            </w:r>
          </w:p>
        </w:tc>
      </w:tr>
      <w:tr>
        <w:tc>
          <w:tcPr>
            <w:tcW w:type="dxa" w:w="17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5–7</w:t>
            </w:r>
          </w:p>
        </w:tc>
        <w:tc>
          <w:tcPr>
            <w:tcW w:type="dxa" w:w="80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Begin → Escalate → Taper → Med Holds → Evening Before → Surgery Day</w:t>
            </w:r>
          </w:p>
        </w:tc>
      </w:tr>
      <w:tr>
        <w:tc>
          <w:tcPr>
            <w:tcW w:type="dxa" w:w="17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≥ 8</w:t>
            </w:r>
          </w:p>
        </w:tc>
        <w:tc>
          <w:tcPr>
            <w:tcW w:type="dxa" w:w="80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Begin → Accelerate → Clinical Optimization → Taper → Med Holds → Evening Before → Surgery Day</w:t>
            </w:r>
          </w:p>
        </w:tc>
      </w:tr>
    </w:tbl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Prehab phases carry 'Phase N' badges; the three fixed terminal phases use literal badges 'Medication Holds', 'Evening Before', 'Surgery Day'. Exercise content within a prehab phase is generated by exerciseCardForPhase(level, programWeek, totalProgWeeks) — a progressive-overload model with HIIT gating keyed to exerciseLevel, plus a final-week taper and a cardiac-safety override.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6.2 Card Gating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Each prehab phase is assembled from one template. Cards are gated in two layers: (1) array inclusion by isFirstPhase / isFinalPrehabPhase / weeks checks, then (2) the card's own show(data, plan) predicate at render time. A card can be included but render-hidden; if no cards survive, the phase shows 'No specific actions for your profile in this phase.'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Prehab Card (in order)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Inclusion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Show Condition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Exercise (generated)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Hit Your Protein Target Every Day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isFirstPhase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Pre-Anesthesia Testing Visit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isFirstPhase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Iron Studies and Anemia Workup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!isFinalPrehabPhase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hasAnemia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Hemoglobin Recheck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!isFirstPhase &amp;&amp; isFinalPrehabPhase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hasAnemia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Cardiac Risk Stratification Confirmed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!isFirstPhase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hasCardiac OR isElevated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Sleep 7–9 Hours. Box Breathe Daily.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Quit Smoking (window-titled)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isFirstPhase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isSmoker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Cessation Confirmed — Stay Smoke-Free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!isFirstPhase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isRecentSmoker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Begin Alcohol Reduction Now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isFirstPhase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heavy/moderate drinker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Withdrawal Risk Plan Confirmed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isFinalPrehabPhase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heavy OR withdrawal history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Introduce Thermal Conditioning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isFirstPhase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 cardiac conditions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Consider Time-Restricted Eating (14:10)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isFirstPhase &amp;&amp; weeks ≥ 3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!diabetic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Continue Time-Restricted Eating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middle phases only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!diabetic &amp;&amp; eatingPattern 'if'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MRSA Decolonization Begins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isFinalPrehabPhase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elevated/high risk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Blood Bank Confirmed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isFinalPrehabPhase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significant blood loss OR anemia</w:t>
            </w:r>
          </w:p>
        </w:tc>
      </w:tr>
      <w:tr>
        <w:tc>
          <w:tcPr>
            <w:tcW w:type="dxa" w:w="2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All Medication Hold Orders Confirmed</w:t>
            </w:r>
          </w:p>
        </w:tc>
        <w:tc>
          <w:tcPr>
            <w:tcW w:type="dxa" w:w="45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isFinalPrehabPhase</w:t>
            </w:r>
          </w:p>
        </w:tc>
        <w:tc>
          <w:tcPr>
            <w:tcW w:type="dxa" w:w="28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6.3 Fixed Terminal Phases</w:t>
      </w:r>
    </w:p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Medication Holds — 3–5 Days Before Surgery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20"/>
      </w:tblGrid>
      <w:tr>
        <w:trPr>
          <w:tblHeader/>
        </w:trP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Show Condition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SGLT2 Inhibitor Hold (3 or More Days)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hasSGLT2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GLP-1 Receptor Agonist Hold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hasGLP1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Stop Time-Restricted Eating Now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eatingPattern 'if' &amp;&amp; !diabetic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Wind Down Thermal Conditioning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 thermal habits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Anticoagulant Hold Window (Varies by Drug)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 anticoagulant (non-aspirin)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Complete Alcohol Abstinence Starting Now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any alcohol use</w:t>
            </w:r>
          </w:p>
        </w:tc>
      </w:tr>
    </w:tbl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Evening Before Surgery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20"/>
      </w:tblGrid>
      <w:tr>
        <w:trPr>
          <w:tblHeader/>
        </w:trP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Show Condition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800 mL Carbohydrate Drink Tonight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Nothing to Eat After Midnight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Chlorhexidine Shower Tonight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elevated/high risk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Protect Sleep — No Alcohol, No Screens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Confirm Tomorrow's Plan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</w:tbl>
    <w:p>
      <w:pPr>
        <w:pStyle w:val="Heading3"/>
        <w:keepNext/>
        <w:spacing w:after="100" w:before="180"/>
      </w:pPr>
      <w:r>
        <w:rPr>
          <w:rFonts w:ascii="Arial" w:cs="Arial" w:eastAsia="Arial" w:hAnsi="Arial"/>
          <w:b/>
          <w:bCs/>
          <w:color w:val="095C4B"/>
          <w:sz w:val="24"/>
          <w:szCs w:val="24"/>
        </w:rPr>
        <w:t xml:space="preserve">Surgery Day — Final Checklist</w:t>
      </w:r>
    </w:p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Special visual treatment: navy card backgrounds, white text, teal accents (dayOfSurgery: true). The milestone callout uses isSuccess (teal) styling.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20"/>
      </w:tblGrid>
      <w:tr>
        <w:trPr>
          <w:tblHeader/>
        </w:trP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Title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1B3A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Show Condition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400 mL Carbohydrate Drink — 2 to 3 Hours Before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Take Only Approved Medications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Day-of Labs: Ketones and Glucose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hasSGLT2 OR diabetic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Confirm Consents and Preferences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CPAP and Airway Details Confirmed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has OSA</w:t>
            </w:r>
          </w:p>
        </w:tc>
      </w:tr>
      <w:tr>
        <w:tc>
          <w:tcPr>
            <w:tcW w:type="dxa" w:w="340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Nothing by Mouth — Final</w:t>
            </w:r>
          </w:p>
        </w:tc>
        <w:tc>
          <w:tcPr>
            <w:tcW w:type="dxa" w:w="6320"/>
            <w:tcBorders>
              <w:top w:val="single" w:color="DDE5E3" w:sz="2"/>
              <w:left w:val="single" w:color="DDE5E3" w:sz="2"/>
              <w:bottom w:val="single" w:color="DDE5E3" w:sz="2"/>
              <w:right w:val="single" w:color="DDE5E3" w:sz="2"/>
            </w:tcBorders>
            <w:shd w:fill="F1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always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Version Notes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v2.0 (June 29, 2026):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Synchronized with the current live code. Changes from v1.0 (April 13, 2026):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1"/>
          <w:szCs w:val="21"/>
        </w:rPr>
        <w:t xml:space="preserve">generatePlan() always builds both patient[] and provider[]; the previous 'provider only when userRole === provider' description was incorrect — role gates the view, not generation.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1"/>
          <w:szCs w:val="21"/>
        </w:rPr>
        <w:t xml:space="preserve">Alerts expanded from 10 to 16 (added cardiac-event &lt; 3 mo, stroke &lt; 3 mo, HbA1c &gt; 9, Child-Pugh C, pulmonary HTN + major surgery, and pheochromocytoma without alpha-blockade).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1"/>
          <w:szCs w:val="21"/>
        </w:rPr>
        <w:t xml:space="preserve">Provider track documented as the full 34-pathway engine (Sections A–H) with the timedDetail() time-window formatter, the diabetes hold matrix, RAI/Mini-Cog/Caprini numeric scoring, and 2025–2026 sources (ADA 2026, ACG 2025, SPAQI 2025, Dixit 2025, BigpAK-2 2026).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1"/>
          <w:szCs w:val="21"/>
        </w:rPr>
        <w:t xml:space="preserve">Timeline rewritten as a dynamic, forward-only model (2–7 phases by weeksUntil) with two-layer card gating, replacing the former static 7-phase table.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1"/>
          <w:szCs w:val="21"/>
        </w:rPr>
        <w:t xml:space="preserve">Added intake-mode (chat vs form) and refine-plan documentation, and the comprehensive PDF export path.</w:t>
      </w:r>
    </w:p>
    <w:p>
      <w:pPr>
        <w:spacing w:after="160" w:before="80" w:line="252"/>
      </w:pPr>
      <w:r>
        <w:rPr>
          <w:rFonts w:ascii="Arial" w:cs="Arial" w:eastAsia="Arial" w:hAnsi="Arial"/>
          <w:i/>
          <w:iCs/>
          <w:color w:val="4A6274"/>
          <w:sz w:val="20"/>
          <w:szCs w:val="20"/>
        </w:rPr>
        <w:t xml:space="preserve">Companion clinical reference: docs/SurgeryReady_Clinical_Guidelines_Master — the evidence-and-citations view of the same 34 pathways.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C8E9B"/>
        <w:sz w:val="16"/>
        <w:szCs w:val="16"/>
      </w:rPr>
      <w:t xml:space="preserve">SurgeryReady — Internal Algorithm Reference v2.0    ·    Page </w:t>
    </w:r>
    <w:r>
      <w:rPr>
        <w:rFonts w:ascii="Arial" w:cs="Arial" w:eastAsia="Arial" w:hAnsi="Arial"/>
        <w:color w:val="7C8E9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95C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SurgeryReady — Internal Algorithm &amp; Timeline Reference</dc:title>
  <dc:creator>Akbar Herekar MD MPH</dc:creator>
  <dc:description>Internal technical reference for the SurgeryReady perioperative algorithm and timeline.</dc:description>
  <cp:lastModifiedBy>Un-named</cp:lastModifiedBy>
  <cp:revision>1</cp:revision>
  <dcterms:created xsi:type="dcterms:W3CDTF">2026-06-29T17:34:47.478Z</dcterms:created>
  <dcterms:modified xsi:type="dcterms:W3CDTF">2026-06-29T17:34:47.478Z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