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SurgeryReady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7C66"/>
          <w:sz w:val="40"/>
          <w:szCs w:val="40"/>
        </w:rPr>
        <w:t xml:space="preserve">Clinical Guidelines Master Reference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6274"/>
          <w:sz w:val="24"/>
          <w:szCs w:val="24"/>
        </w:rPr>
        <w:t xml:space="preserve">Health before healthcare™</w:t>
      </w:r>
    </w:p>
    <w:p>
      <w:pPr>
        <w:pBdr>
          <w:top w:val="single" w:color="0D7C66" w:sz="6"/>
          <w:bottom w:val="single" w:color="0D7C66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Evidence-Based Perioperative Algorithm  —  All 34 Clinical Pathways</w:t>
      </w: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4A6274"/>
          <w:sz w:val="22"/>
          <w:szCs w:val="22"/>
        </w:rPr>
        <w:t xml:space="preserve">Version 1.1  •  June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4A6274"/>
          <w:sz w:val="22"/>
          <w:szCs w:val="22"/>
        </w:rPr>
        <w:t xml:space="preserve">Akbar Herekar MD MPH  •  SurgeryReady.net</w:t>
      </w:r>
    </w:p>
    <w:p>
      <w:pPr>
        <w:spacing w:before="80" w:after="60"/>
        <w:jc w:val="center"/>
      </w:pPr>
      <w:r>
        <w:rPr>
          <w:rFonts w:ascii="Arial" w:cs="Arial" w:eastAsia="Arial" w:hAnsi="Arial"/>
          <w:i/>
          <w:iCs/>
          <w:color w:val="7C8E9B"/>
          <w:sz w:val="18"/>
          <w:szCs w:val="18"/>
        </w:rPr>
        <w:t xml:space="preserve">Synchronized with the live 34-pathway provider engine — generatePlan(), src/App.jsx (June 29, 2026)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3030"/>
          <w:sz w:val="16"/>
          <w:szCs w:val="16"/>
        </w:rPr>
        <w:t xml:space="preserve">CLINICAL DECISION SUPPORT TOOL  —  NOT FOR INDIVIDUAL PATIENT CARE WITHOUT CLINICAL JUDGMENT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B3A5C" w:val="clear"/>
        <w:spacing w:after="160" w:before="240"/>
        <w:ind w:left="180"/>
      </w:pPr>
      <w:bookmarkStart w:name="overview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Overview &amp; Framework</w:t>
      </w:r>
      <w:bookmarkEnd w:id="1"/>
    </w:p>
    <w:p>
      <w:pPr>
        <w:pStyle w:val="Heading2"/>
        <w:pBdr>
          <w:bottom w:val="single" w:color="0D7C66" w:sz="4"/>
        </w:pBdr>
        <w:spacing w:after="80" w:before="200"/>
      </w:pPr>
      <w:bookmarkStart w:name="organization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How This Document Is Organized</w:t>
      </w:r>
      <w:bookmarkEnd w:id="1"/>
    </w:p>
    <w:p>
      <w:pPr>
        <w:spacing w:after="80"/>
      </w:pPr>
      <w:r>
        <w:rPr>
          <w:rFonts w:ascii="Arial" w:cs="Arial" w:eastAsia="Arial" w:hAnsi="Arial"/>
        </w:rPr>
        <w:t xml:space="preserve">This reference presents the complete SurgeryReady perioperative algorithm as 34 discrete clinical pathways. Each pathway follows a standard structure: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TRIGGER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The clinical condition, medication, or finding that activates this pathway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TIME WINDOWS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Actions organized by weeks before surgery: ≥8 wk / 4–7 wk / 1–2 wk / Day of Surgery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READINESS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Pre-surgical criteria that must be met before safe anesthesia/surgery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SOURCES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Authoritative guideline citations with hyperlinks to PubMed/society pages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evidence-tiers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Evidence Tiers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800"/>
      </w:tblGrid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 I / Grade A</w:t>
            </w:r>
          </w:p>
        </w:tc>
        <w:tc>
          <w:tcPr>
            <w:tcW w:type="dxa" w:w="2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IMPORTANT (HIGH)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 guideline recommendation or direct patient safety implication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 IIa-IIb / Grade B</w:t>
            </w:r>
          </w:p>
        </w:tc>
        <w:tc>
          <w:tcPr>
            <w:tcW w:type="dxa" w:w="2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 (MED)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Moderate evidence or consensus recommendation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Expert opinion</w:t>
            </w:r>
          </w:p>
        </w:tc>
        <w:tc>
          <w:tcPr>
            <w:tcW w:type="dxa" w:w="2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 (LOW)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Expert opinion, emerging evidence, or patient preference-driven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risk-categories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Surgical Risk Categories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MACE RISK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ELEVATED</w:t>
            </w:r>
          </w:p>
        </w:tc>
        <w:tc>
          <w:tcPr>
            <w:tcW w:type="dxa" w:w="46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Hip/knee replacement, abdominal, thoracic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1–5%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Vascular, cancer resection, open cardiac, neurologic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&gt;5%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Cataract, endoscopy, superficial procedures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&lt;1%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rcri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RCRI — Revised Cardiac Risk Index</w:t>
      </w:r>
      <w:bookmarkEnd w:id="1"/>
    </w:p>
    <w:p>
      <w:pPr>
        <w:spacing w:after="80"/>
      </w:pPr>
      <w:r>
        <w:rPr>
          <w:rFonts w:ascii="Arial" w:cs="Arial" w:eastAsia="Arial" w:hAnsi="Arial"/>
        </w:rPr>
        <w:t xml:space="preserve">Six binary risk factors. Each scores 1 point. Predicts perioperative MACE (myocardial infarction, cardiac arrest, complete heart block, pulmonary edema).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40"/>
        <w:gridCol w:w="2640"/>
      </w:tblGrid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RCRI FACTOR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MACE RISK BY SCORE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High-risk surgery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Suprainguinal vascular, intrathoracic, intraperitoneal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0: 0.4%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Ischemic heart disease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MI, positive stress test, angina, nitrate use, ECG Q waves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1: 1.0%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Congestive heart failure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pulmonary edema, paroxysmal nocturnal dyspnea, S3 gallop, CXR redistribution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2: 2.4%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Cerebrovascular disease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TIA or stroke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≥3: 5.4%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Diabetes on insulin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Pre-op insulin use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 &gt; 2.0 mg/dL</w:t>
            </w:r>
          </w:p>
        </w:tc>
        <w:tc>
          <w:tcPr>
            <w:tcW w:type="dxa" w:w="44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Pre-op serum creatinine &gt; 2.0</w:t>
            </w:r>
          </w:p>
        </w:tc>
        <w:tc>
          <w:tcPr>
            <w:tcW w:type="dxa" w:w="26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dasi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DASI — Duke Activity Status Index</w:t>
      </w:r>
      <w:bookmarkEnd w:id="1"/>
    </w:p>
    <w:p>
      <w:pPr>
        <w:spacing w:after="80"/>
      </w:pPr>
      <w:r>
        <w:rPr>
          <w:rFonts w:ascii="Arial" w:cs="Arial" w:eastAsia="Arial" w:hAnsi="Arial"/>
        </w:rPr>
        <w:t xml:space="preserve">12-item validated questionnaire. Calculates VO₂max: VO₂max (mL/kg/min) = 0.43 × DASI + 9.6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VO₂max (mL/kg/min)</w:t>
            </w:r>
          </w:p>
        </w:tc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METs</w:t>
            </w:r>
          </w:p>
        </w:tc>
        <w:tc>
          <w:tcPr>
            <w:tcW w:type="dxa" w:w="52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INTERPRETATION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14</w:t>
            </w:r>
          </w:p>
        </w:tc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4 METs</w:t>
            </w:r>
          </w:p>
        </w:tc>
        <w:tc>
          <w:tcPr>
            <w:tcW w:type="dxa" w:w="52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Poor functional capacity — high perioperative risk. Flag for cardiology evaluation.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14–25</w:t>
            </w:r>
          </w:p>
        </w:tc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4–7 METs</w:t>
            </w:r>
          </w:p>
        </w:tc>
        <w:tc>
          <w:tcPr>
            <w:tcW w:type="dxa" w:w="52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Moderate capacity — optimization opportunity.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 25</w:t>
            </w:r>
          </w:p>
        </w:tc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 7 METs</w:t>
            </w:r>
          </w:p>
        </w:tc>
        <w:tc>
          <w:tcPr>
            <w:tcW w:type="dxa" w:w="52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 functional reserve. Standard risk stratification.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npo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NPO Guidelines — ASA 2023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040"/>
        <w:gridCol w:w="4800"/>
      </w:tblGrid>
      <w:tr>
        <w:tc>
          <w:tcPr>
            <w:tcW w:type="dxa" w:w="32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SUBSTANCE</w:t>
            </w:r>
          </w:p>
        </w:tc>
        <w:tc>
          <w:tcPr>
            <w:tcW w:type="dxa" w:w="20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FAST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Clear liquids (water, juice, tea, black coffee)</w:t>
            </w:r>
          </w:p>
        </w:tc>
        <w:tc>
          <w:tcPr>
            <w:tcW w:type="dxa" w:w="20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particulates</w:t>
            </w:r>
          </w:p>
        </w:tc>
      </w:tr>
      <w:tr>
        <w:tc>
          <w:tcPr>
            <w:tcW w:type="dxa" w:w="32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Breast milk</w:t>
            </w:r>
          </w:p>
        </w:tc>
        <w:tc>
          <w:tcPr>
            <w:tcW w:type="dxa" w:w="20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Infants only</w:t>
            </w:r>
          </w:p>
        </w:tc>
      </w:tr>
      <w:tr>
        <w:tc>
          <w:tcPr>
            <w:tcW w:type="dxa" w:w="32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Infant formula / light meal</w:t>
            </w:r>
          </w:p>
        </w:tc>
        <w:tc>
          <w:tcPr>
            <w:tcW w:type="dxa" w:w="20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hours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Toast + clear liquid</w:t>
            </w:r>
          </w:p>
        </w:tc>
      </w:tr>
      <w:tr>
        <w:tc>
          <w:tcPr>
            <w:tcW w:type="dxa" w:w="32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meal (fatty/fried/meat)</w:t>
            </w:r>
          </w:p>
        </w:tc>
        <w:tc>
          <w:tcPr>
            <w:tcW w:type="dxa" w:w="20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hours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solid food</w:t>
            </w:r>
          </w:p>
        </w:tc>
      </w:tr>
      <w:tr>
        <w:tc>
          <w:tcPr>
            <w:tcW w:type="dxa" w:w="32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GLP-1 RA patients</w:t>
            </w:r>
          </w:p>
        </w:tc>
        <w:tc>
          <w:tcPr>
            <w:tcW w:type="dxa" w:w="204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Extended per institution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 require gastric US to confirm empty stomach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A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CARDIOVASCULAR RISK (PATHWAYS 1–8)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cv-alerts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Pre-operative Alert Thresholds — Cardiovascular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0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Cardiac event timing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 &lt; 60 days</w:t>
            </w:r>
          </w:p>
        </w:tc>
        <w:tc>
          <w:tcPr>
            <w:tcW w:type="dxa" w:w="40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 elective surgery (Class I)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Stent type / timing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 &lt; 6 mo (elective) / &lt; 3 mo (urgent)</w:t>
            </w:r>
          </w:p>
        </w:tc>
        <w:tc>
          <w:tcPr>
            <w:tcW w:type="dxa" w:w="40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MACE risk; plan with cardiology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Ejection fraction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 &lt; 35%</w:t>
            </w:r>
          </w:p>
        </w:tc>
        <w:tc>
          <w:tcPr>
            <w:tcW w:type="dxa" w:w="40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Decompensated HFrEF workup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BNP / NT-proBNP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 92 / &gt; 300 pg/mL</w:t>
            </w:r>
          </w:p>
        </w:tc>
        <w:tc>
          <w:tcPr>
            <w:tcW w:type="dxa" w:w="40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Echo before elevated-risk surgery (Class 2b)</w:t>
            </w:r>
          </w:p>
        </w:tc>
      </w:tr>
      <w:tr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DASI score</w:t>
            </w:r>
          </w:p>
        </w:tc>
        <w:tc>
          <w:tcPr>
            <w:tcW w:type="dxa" w:w="30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≤ 34</w:t>
            </w:r>
          </w:p>
        </w:tc>
        <w:tc>
          <w:tcPr>
            <w:tcW w:type="dxa" w:w="40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 for cardiology consult with elevated MACE risk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CAD / Prior MI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has CAD, prior MI, prior PCI/stent, or angina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Optimize GDMT: high-intensity statin, beta-blocker (CONTINUE; do NOT start &lt;7d pre-op per POISE), aspirin, ACEi/ARB. Order BNP/NT-proBNP if elevated risk. Use DASI questionnaire to replace subjective METs estimate.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BNP &gt;92 or NT-proBNP &gt;300 → echo. IF DASI ≤34 + elevated risk → cardiology consult. Verify stent intervals: BMS ≥3 mo time-sensitive / ≥6 mo elective. DES ≥6 mo time-sensitive / ≥12 mo post-ACS. Plan DAPT management.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on DAPT: hold clopidogrel 5d / prasugrel 7–10d / ticagrelor 3–5d. CONTINUE statin + beta-blocker. IF not on DAPT: verify antiplatelet plan.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BB + statin. Hold ACEi/ARB if HTN-only (STOP-or-NOT). Order postop troponin at 24h and 48h (Class 2b). IF MINS detected: ASA + high-intensity statin; consider dabigatran 110 mg BID (MANAGE trial); cardiology follow-up ≤30 days.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MI: ≥60 days since event (Class I). IF stent: timing criteria met. GDMT optimized. Cardiology clearance documented.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uyez8c7td7p2l5pqkkc7-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zv2gzhfwo6gar7sawuc-s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Devereaux PJ et al. POISE trial. Lancet. 2008;371:1839–47.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3. </w:t>
            </w:r>
            <w:hyperlink w:history="1" r:id="rIdchihaitb9ffchz-mxaiw5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Devereaux PJ et al. MANAGE trial. Lancet. 2018;391:2325–34.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Heart Failure (HFrEF or HFpEF)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has CHF, HFrEF, or HFpEF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(HFrEF)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Quadruple GDMT: (1) beta-blocker, (2) ARNI or ACEi/ARB, (3) MRA, (4) SGLT2i [hold 3–4d pre-op]. Echo if none in 1 year. Order BNP/NT-proBNP baseline. Optimize to euvolemia.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(HFpEF)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Diuresis to euvolemia. BP control. Rate control if AF. Echo within 1 year. BNP/NT-proBNP trend.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Re-check BNP trend. IF decompensated HF → DEFER surgery until compensated. Confirm echo ≤1 year.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SGLT2i already held (if applicable). Reconfirm euvolemia. Avoid fluid overload perioperatively.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BB, ARNI/ACEi (HFrEF), statin. SGLT2i held. Monitor ketones. Avoid fluid overload.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Compensated HF. GDMT stable ≥2 weeks. BNP stable or trending down. Echo documented. Euvolemic.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fnt2zgpxbjjshcbd_8v2z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Heidenreich PA et al. 2022 AHA/ACC Heart Failure Guideline. Circulation. 2022;145:e895.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i2rr7mhqrorxq6aa9dyrj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3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Valvular Heart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Severe AS (symptomatic or asymptomatic), mechanical valve, HCM, or known valvular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(Severe Sx AS)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VALVE INTERVENTION FIRST: SAVR or TAVR before elective NCS. Refer to structural heart program.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(Severe ASx AS)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Proceed with cardiology co-management. Document elevated-risk awareness. Echo within 1 year.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(HCM)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Maintain preload + afterload. Avoid tachycardia, hypovolemia, inotropes. Echo within 1 year.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(Mech Valve)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Plan UFH/LMWH bridge during warfarin hold per ASRA 5th Ed. Target INR pre-bridge &lt;1.5.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Echo within 1 year or if clinical change (Class I). Cardiology co-management for severe disease.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mech valve: resume anticoagulation per ASRA 5th Ed restart windows. IF AS/HCM: maintain hemodynamic goals per lesion. Avoid tachycardia and hypovolemia.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Severity quantified on echo. Appropriate intervention scheduled or documented not indicated.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p4s7hhedy5ctiheflmxbf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Otto CM et al. 2021 AHA/ACC VHD Guideline. Circulation. 2021;143:e72.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voaqfh7w7kq3w1g2t7ssn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4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Uncontrolled Hypertension (DBP &gt;110)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Documented DBP &gt;110 mmHg or known uncontrolled hypertension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Assess for end-organ damage: fundoscopy, ECG, creatinine, urine protein. Optimize antihypertensives. Target BP &lt;160/100.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CCB, BB, clonidine (NO abrupt stop). Recheck BP weekly. IF still uncontrolled → add agent or refer.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SBP ≥180 / DBP ≥110 WITH end-organ damage → consider deferring (Class 2b). WITHOUT end-organ damage → proceed with invasive monitoring.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BP &lt;180/110 stable. End-organ damage ruled out or stable.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jza2w5m42nspn_u98jb1d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5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Atrial Fibrillation / Flutter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atrial fibrillation or flutter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Rate control target HR &lt;110 (RACE II criteria). IF not rate-controlled → optimize with BB or CCB. Calculate CHA₂DS₂-VASc score for anticoagulation decision.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Review anticoag timing per ASRA 5th Ed. Warfarin: hold 5 days, bridge ONLY if high thrombotic risk. DOACs: per drug-specific intervals (Pathway 19). DO NOT bridge DOACs.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rate agents perioperatively. IF elevated-risk NCS: troponin at 24h/48h. IF new periop AF: treat triggers (pain, hypoxemia), rate control.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HR &lt;110. CHA₂DS₂-VASc documented. Anticoag timing reconciled with ASRA 5th 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l5pdb6vss8udzyidmkpir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Douketis JD et al. BRIDGE trial. NEJM. 2015;373:823–33.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s_axv8eir6bwryu0v2mdg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Kopp SL et al. ASRA 5th Edition Anticoagulation Guidelines. Reg Anesth Pain Med. 2025.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6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Pulmonary Hypertension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pulmonary hypertension (any class)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severe PH → PH center referral (Class 2a). Continue ALL pulmonary vasodilators (Class I). NEVER interrupt IV prostacyclin infusion.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Echo if none within 1 year. IF functional decline → right heart catheterization.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Invasive arterial + central monitoring required. Avoid hypoxemia, hypercarbia, acidosis (all worsen PH). Maintain RV preload. Inhaled NO must be available.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Functional class documented. Vasodilator therapy uninterrupted. PH center plan of care on file.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nroccpapykpdampmvwrvj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Humbert M et al. 2022 ESC/ERS PH Guidelines. Eur Heart J. 2022;43:3618.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7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Prior Stroke / Cerebrovascular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History of stroke, TIA, or peripheral vascular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stroke &lt; 3 months → DEFER elective surgery (Class 2a). IF symptomatic carotid stenosis or TIA &lt; 6 months → carotid duplex US.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Document baseline MAP. Plan intraoperative target: avoid MAP &lt;20% below patient's baseline.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Maintain MAP within 20% of baseline. Neuro checks every shift postoperatively.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post-stroke: ≥3 months since event (Class 2a). Baseline MAP documented in anesthesia plan.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aa2s4pxyikr4vg6z0hjof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m47ne70ifav2ipncvzohj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Glance LG et al. Perioperative MACE after prior stroke. JAMA Surg. 2022.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8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CARDIAC RISK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CIED — Pacemaker / ICD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Implanted pacemaker or implantable cardioverter-defibrillator (ICD)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Device interrogation within 6–12 months. Determine pacemaker dependency. Assess EMI risk from planned surgical site (bipolar electrocautery if &lt;15 cm from device).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Coordinate with EP team for reprogramming plan. Confirm magnet availability for intraoperative use.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pacemaker-dependent: reprogram to asynchronous mode (VOO/DOO) OR use magnet. IF ICD: disable anti-tachycardia therapies before incision. External defibrillator pads applied. RESTORE all therapies before discharge.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Recent interrogation documented. Reprogramming/deactivation plan in anesthesia note. Magnet confirmed in OR.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s-t0ebhrehwqgqcelexl1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ff1l9nfvpwalztxv-pt7j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Crossley GH et al. HRS Expert Consensus on CIED Perioperative Management. Heart Rhythm. 2011;8:1114.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B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RESPIRATORY (PATHWAYS 9–11)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9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RESPIRATORY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COPD / Emphysema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Diagnosed COPD or emphysema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all inhalers. Optimize LABA + LAMA. Add ICS if eosinophils &gt;300. Smoking cessation: ≥4 weeks → 23% PPC reduction; ≥8 weeks → 47% PPC reduction. PFTs NOT routinely indicated (ESAIC 2025) — reserve for lung resection.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symptomatic → prednisone 40 mg ×5 days burst. Prescribe incentive spirometry: 10 breaths q1–2h.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All inhalers administered AM of surgery. AVOID desflurane (airway irritant). Postop: incentive spirometry + early mobilization. Opioid-sparing analgesia plan.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Symptoms optimized. All inhalers continued. Smoking cessation documented.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2gsetdlamqpfz9ocsnfj7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Global Initiative for COPD. GOLD 2025 Report.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imkse-zc9rrkipbhcqzr9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ESAIC 2025 Guidelines for Perioperative Care. Eur J Anaesthesiol. 2025.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10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RESPIRATORY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CC66"/>
                <w:sz w:val="18"/>
                <w:szCs w:val="18"/>
              </w:rPr>
              <w:t xml:space="preserve"> [MED]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Obstructive Sleep Apnea (OSA)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Diagnosed OSA or suspected OSA (STOP-BANG ≥3)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(Dx OSA)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Bring CPAP to hospital. IF non-adherent → reinforce, re-initiate CPAP ≥2 weeks pre-op. Assess for pulm HTN / RV dysfunction.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(Suspected)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STOP-BANG scoring. IF ≥3 and ≥4 weeks available → arrange sleep study. IF STOP-BANG ≥5 → assume OSA and plan empiric CPAP.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STOP-BANG ≥5: empiric CPAP initiated. Reinforce adherence. Plan continuous SpO₂ monitoring postop.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brings CPAP to hospital. Postop orders: continuous SpO₂, CPAP when not eating, opioid-sparing multimodal analgesia, avoid supine positioning.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Dx OSA: CPAP present at hospital; adherence documented. IF suspected: STOP-BANG score documented; empiric CPAP plan in place if ≥5.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lndnjtyz5wdwwvffh2azb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Chung F et al. STOP-Bang Questionnaire for OSA screening. Anesth Analg. 2016;123:227.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10b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RESPIRATORY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Unexplained Dyspnea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Unexplained dyspnea on exertion or at rest without clear etiology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Order BNP/NT-proBNP (Class 2b). IF elevated → echo before proceeding with elevated-risk surgery. Administer DASI questionnaire for objective functional capacity.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PFTs only if needed to assess optimization for lung resection. Optimize bronchodilators if obstructive pattern found.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Stratify risk based on workup results. Plan postop troponin monitoring if elevated cardiac risk emerges from workup.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Etiology identified or ruled out. Cardiology and/or pulmonology clearance as indicated.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wrck0usk784dzi71aiy3e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11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RESPIRATORY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CC66"/>
                <w:sz w:val="18"/>
                <w:szCs w:val="18"/>
              </w:rPr>
              <w:t xml:space="preserve"> [MED]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Asthma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asthma diagnosis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Elective surgery ONLY when well-controlled (bronchospasm risk &lt;2%). IF uncontrolled → increase ICS, add LABA. Document current PEF vs. personal best.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still uncontrolled → methylprednisolone 40 mg ×5 days burst course.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AVOID desflurane (potent airway irritant). AVOID histamine-releasing NMBAs (atracurium, mivacurium). PREFER sevoflurane + rocuronium/sugammadex. Nebulizer available in PACU.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Symptoms controlled. PEF at personal baseline. No exacerbation in past 2 weeks.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ak_dkixgslrivr5bk1pgo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Global Initiative for Asthma. GINA 2024 Main Report.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C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ENDOCRINE &amp; METABOLIC (PATHWAYS 12–16)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12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ENDOCRINE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Diabetes — Perioperative Glucose Management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Type 1 or Type 2 Diabetes Mellitus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Order HbA1c if none in 90 days. IF A1C &gt;9.0% → DEFER elective surgery; optimize glycemic control. IF A1C &gt;8.5% → intensive optimization before elective surgery. Target ≤8.5% for elective.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Metformin: hold AM of surgery (hold 24–48h if eGFR 30–60). Sulfonylureas: hold AM. DPP-4i: continue. SGLT2i: per Pathway 14. GLP-1 RA: per Pathway 13.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 (Insulin)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Basal insulin: reduce by 20–25% evening before surgery. Basal-bolus: basal -20%; NPH -50%; HOLD all bolus doses while NPO. Insulin pump: continue basal ≤1 missed meal; disconnect &gt;3h → IV insulin.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Glucose target 80–180 mg/dL (ADA 2025). IF glucose &gt;300 + ketones &gt;2.5 → cancel surgery. Order POC glucose on arrival. IF ketones elevated (SGLT2i patient) → DKA protocol.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HbA1c ≤8.5% (or ≤9% if urgent). Medication holds reconciled. Glucose monitoring plan documented.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a4f1zn-22ui8vpipierwl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American Diabetes Association. Standards of Medical Care in Diabetes 2025. Diabetes Care. 2025;48(Suppl 1).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uivtr97ip2akcqg_tyxju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Joshi GP et al. SAMBA Consensus on Perioperative Diabetes Management. Anesth Analg. 2024.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13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MEDICATIONS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GLP-1 Receptor Agonist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taking any GLP-1 RA (semaglutide, liraglutide, dulaglutide, tirzepatide, exenatide)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(HIGH RISK)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 RISK criteria: dose escalation phase, high dose, weekly agent, active GI symptoms, or gastroparesis → liquid diet ≥24h before surgery.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weekly agent (semaglutide/tirzepatide): HOLD 7 days before surgery. IF daily agent: hold day of surgery only.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active GI symptoms: consider delaying surgery. IF proceeding: liquid diet pre-op, gastric ultrasound to confirm empty stomach, RSI plan if retained solids identified. IF no GI symptoms and held appropriately: standard NPO.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high-risk: liquid diet adherence confirmed. Gastric ultrasound plan in place. IF standard: hold documented.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8u1ookiusokmuto7rklds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Multi-Society Guidance on Perioperative GLP-1 RA Management. Surg Endosc. 2025.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14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MEDICATIONS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SGLT2 Inhibitor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taking empagliflozin, dapagliflozin, canagliflozin, or ertugliflozin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HOLD: empagliflozin / dapagliflozin / canagliflozin ≥3 days pre-op. Ertugliflozin ≥4 days pre-op (Class I, 2024 AHA/ACC). Educate patient on euDKA risk if not held.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POC β-hydroxybutyrate: &lt;0.6 mmol/L = normal / 0.6–1.5 = monitor / &gt;1.5 = full DKA workup. IF DKA confirmed: IV fluids + insulin + dextrose protocol.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duration confirmed. Restart criteria: eating/drinking normally AND β-OHB &lt;0.6. HFrEF exception: shared decision with cardiology.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r-dvtanlcilzkb1k4c-ks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Fleisher LA et al. 2024 AHA/ACC Guideline for Perioperative CV Management. Circulation. 2024.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15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ENDOCRINE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Pheochromocytoma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or suspected pheochromocytoma or paraganglioma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MANDATORY: Phenoxybenzamine 10 mg BID → titrate to 40 mg BID OR doxazosin 1–32 mg. Start ≥10–14 days before surgery. ALPHA FIRST. NEVER start beta-blocker before alpha established.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alpha titration to Roizen criteria: (1) no BP &gt;160/90 for 24h; (2) no orthostatic drop &gt;80/45; (3) no ST/T changes for 1 week. Add beta-blocker ONLY after alpha established (2–3 days later). Volume expansion: high-Na diet + IV NS.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Roizen criteria met. Arterial line + central venous access required. Phentolamine, nitroprusside, and esmolol available in OR.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Alpha-blockade established ≥10 days. Roizen criteria met. Volume expanded.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2_bkol_y-4fvijrqelw5e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Lenders JW et al. Endocrine Society Guideline: Pheochromocytoma/Paraganglioma. JCEM. 2014;99:1915.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16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ENDOCRINE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Stress-Dose Steroid Assessment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Chronic corticosteroid use OR adrenal insufficiency / Addison's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Assess HPA suppression: IF Addison's / replacement dose → ALWAYS needs coverage. IF prednisone ≥20 mg/d ≥3 weeks → needs coverage. IF prednisone 5–20 mg/d ≥3 weeks → uncertain HPA; CONSIDER coverage. IF ≤5 mg/d any duration → no coverage needed.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Minor surgery: usual dose + hydrocortisone 25 mg IV induction. Moderate surgery: hydrocortisone 50 mg IV induction → 25 mg q8h ×24h → usual dose. Major surgery: hydrocortisone 100 mg IV induction → 50 mg q8h ×24–48h → taper to usual.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Steroid dose and duration documented. Coverage protocol selected per surgery magnitude.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iqqnwqmkcizxbhp3ohyg3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Woodcock T et al. Management of glucocorticoids peri-operatively. Anaesthesia. 2020;75:654.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plbsnsr92tfyihkupicft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Bornstein SR et al. Diagnosis and Treatment of Primary Adrenal Insufficiency. JCEM. 2016;101:364.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D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HEMATOLOGIC (PATHWAYS 17–19)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anemia-tiers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Anemia Severity Tiers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4560"/>
      </w:tblGrid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HEMOGLOBIN (g/dL)</w:t>
            </w:r>
          </w:p>
        </w:tc>
        <w:tc>
          <w:tcPr>
            <w:tcW w:type="dxa" w:w="45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≥13 (M) / ≥12 (F)</w:t>
            </w:r>
          </w:p>
        </w:tc>
        <w:tc>
          <w:tcPr>
            <w:tcW w:type="dxa" w:w="45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intervention required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Mild Anemia</w:t>
            </w:r>
          </w:p>
        </w:tc>
        <w:tc>
          <w:tcPr>
            <w:tcW w:type="dxa" w:w="31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10–12.9 (M) / 10–11.9 (F)</w:t>
            </w:r>
          </w:p>
        </w:tc>
        <w:tc>
          <w:tcPr>
            <w:tcW w:type="dxa" w:w="45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Iron studies, oral iron if deficient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Moderate Anemia</w:t>
            </w:r>
          </w:p>
        </w:tc>
        <w:tc>
          <w:tcPr>
            <w:tcW w:type="dxa" w:w="31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8–9.9</w:t>
            </w:r>
          </w:p>
        </w:tc>
        <w:tc>
          <w:tcPr>
            <w:tcW w:type="dxa" w:w="45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IV iron, hematology consult, consider delaying surgery</w:t>
            </w:r>
          </w:p>
        </w:tc>
      </w:tr>
      <w:tr>
        <w:tc>
          <w:tcPr>
            <w:tcW w:type="dxa" w:w="24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Severe Anemia</w:t>
            </w:r>
          </w:p>
        </w:tc>
        <w:tc>
          <w:tcPr>
            <w:tcW w:type="dxa" w:w="31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8</w:t>
            </w:r>
          </w:p>
        </w:tc>
        <w:tc>
          <w:tcPr>
            <w:tcW w:type="dxa" w:w="45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Urgent hematology consult, likely surgery delay, ESA consideration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17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HEMATOLOGIC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Anemia — Patient Blood Management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Hemoglobin &lt; 13 g/dL (any sex), iron deficiency, OR expected significant blood loss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(Severe: Hgb &lt;8)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Hematology consult. Rule out active bleeding. Consider deferring elective surgery. Consider transfusion to Hgb ≥10 (1 unit at a time). EPO if CKD-related.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(Moderate: Hgb 8–9.9)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Iron workup: IF ferritin &lt;30 → absolute deficiency: IV iron (ferric carboxymaltose 750–1000 mg). IF ferritin 30–100 + TSAT &lt;20% → functional deficiency: IV iron. IV iron ≥2–4 weeks pre-op. EPO if CKD.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(Mild: Hgb 10–12.9)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≥6 weeks available: oral iron 325 mg daily + vitamin C. Recheck 2–4 weeks. IF &lt;4 weeks: IV iron.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Recheck Hgb 2 weeks post-infusion. Type &amp; Screen for major surgery with significant expected blood loss.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Hgb recheck if IV iron given. Crossmatch confirmed for high blood-loss procedures. Blood products available.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Hgb trending up. Ferritin/TSAT normalized. Etiology addressed.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poivie5fgt3qcvx_3xfo8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Richards T et al. ICCAMS Consensus on Perioperative Iron Deficiency. Ann Surg. 2023.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w1eqxhhhhv2pfut1twvn8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Hébert PC et al. TRICC Trial — Transfusion Requirements in Critical Care. NEJM. 1999;340:409.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18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HEMATOLOGIC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Sickle Cell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sickle cell disease (HbSS, HbSC, HbSβ-thal)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Hematology co-management required. Order phenotypically matched blood (MANDATORY). Target Hgb 10 g/dL — NOT &gt;11 (hyperviscosity risk). Target HbS &lt;30% for major surgery / &lt;60% for minor surgery.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Plan exchange transfusion timing if HbS target requires (coordinate with hematology and blood bank).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IV NS 1–1.5 mL/kg/hr starting evening before surgery. Active warming devices in OR. Maintain SpO₂ &gt;95%. Incentive spirometry q1–2h postop. AVOID: dehydration, hypothermia, hypoxemia, acidosis (all trigger sickling).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Hgb 10. HbS at target. Phenotypically matched units on file. ACS prevention bundle active.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hfbdq7lympvcgushtfzip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Vichinsky EP et al. Conservative vs. Aggressive Transfusion in Sickle Cell Surgery. NEJM. 1995;333:206.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19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MEDICATIONS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Anticoagulation — ASRA 5th Edition (2025)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taking any anticoagulant or antiplatelet agent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Active agents: reconcile ALL anticoagulants with ASRA 5th Ed framework. New classification: 'Low-dose' vs. 'High-dose' bleeding risk replaces prophylactic/therapeutic distinction. Deep peripheral nerve blocks now managed as neuraxial.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TIMING (low bleed risk → high bleed risk): Apixaban: ≥36h → ≥72h | Rivaroxaban: ≥24h → ≥72h | Dabigatran (CrCl ≥50): ≥48h → ≥72h | Dabigatran (CrCl 30–49): ≥96h → ≥120h | LMWH: ≥12h → ≥24h | Warfarin: 5 days (INR &lt;1.5) | Clopidogrel: 5–7d | Ticagrelor: 5d. DOAC anti-Xa &lt;30 ng/mL or aXa ≤0.1 IU/mL may allow earlier.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Verify INR or anti-Xa as appropriate for agent. Confirm neuraxial timing with anesthesia team.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RESTART windows: DOACs 6h (low) / 24h (high) bleed risk. LMWH 12/24–72h. Warfarin per indication. Restart documented in discharge orders.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bcvl2jzwicxlga2cxzmjq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Kopp SL et al. ASRA Pain Medicine Consensus Guidelines — Fifth Edition. Reg Anesth Pain Med. 2025. PMID 39880411.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SUBSTANCE USE (PATHWAYS 20–22)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20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SMOKING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Smoking Cessation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smoker or quit within 8 weeks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now. NRT: 21 mg patch (≥10 cig/d) or 14 mg patch (&lt;10 cig/d) + rescue gum/lozenge. Varenicline 1 mg BID ×12 weeks. Cessation program referral. Spirometry education. ≥8 weeks = 47% PPC reduction. Ciliary recovery 2–4 weeks; immune recovery 6–8 weeks.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now (still beneficial). Same NRT. Assess adherence. 23% PPC reduction at ≥4 weeks cessation.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Even 24–48h cessation normalizes carboxyhemoglobin (COHb). NRT patch + gum. No smoking on DOS.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Verify cessation status. NRT patch applied on admission. Incentive spirometer at bedside.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NRT plan documented. Cessation timeline on file. IF heavy smoker (≥20/d): consider PFTs if lung resection planned.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ibqvdxuwjyepfwisacll_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Mills E et al. Smoking cessation reduces postoperative complications. Am J Med. 2011;124:144.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pe0onlrhj1f-ximqxeb8s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Wong J et al. Short-term preoperative smoking cessation benefits. Anesth Analg. 2017.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21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ALCOHOL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Heavy Alcohol Use / Withdrawal Risk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alcohol use (&gt;14 drinks/week) or positive CAGE screen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AUDIT-C score. IF PAWSS ≥4 → high withdrawal risk (sensitivity 93%). LABS: CMP, CBC, PT/INR, Mg, phosphate, GGT. Thiamine 100 mg PO daily (MANDATORY — prevents Wernicke encephalopathy). Folate 1 mg. MVI. Counsel cessation ≥4 weeks (immune + platelet recovery).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thiamine + folate. Document cessation duration. Addiction medicine referral if unable to abstain.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withdrawal history: PAWSS-triggered benzodiazepine prophylaxis protocol. ICU bed consideration. Addiction medicine / psychiatry consult. IF no withdrawal history: CIWA-Ar monitoring ×72h postop. Low threshold for benzo rescue.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CIWA-Ar dosing ready: ≤8 → none | 9–19 → lorazepam 1–2 mg q1h | ≥20 → diazepam 10–20 mg IV q15–30 min + phenobarbital rescue. Document in anesthesia note (enzyme induction → ↑ anesthetic/opioid requirements).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s7tap9cvkddwwfbw6kyrp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Maldonado JR et al. Prediction of Alcohol Withdrawal Severity Scale (PAWSS). Alcohol Alcohol. 2014;49:125.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22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MEDICATIONS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Buprenorphine / Methadone / Naltrexone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taking buprenorphine, methadone, or naltrexone for OUD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BUPRENORPHINE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DO NOT HOLD. Continue home dose through perioperative period (ASRA/ASA/AAAM/ASAM 2021, reaffirmed 2024–2025). Full mu-agonists CAN be co-administered at standard doses. Multimodal: regional anesthesia, ketamine, NSAIDs, gabapentinoids.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METHADONE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maintenance dose. IF NPO: IV conversion = 50% of oral dose, divided q6–8h. ECG REQUIRED (QTc &gt;500 ms = TdP risk → dose reduction + cardiology consult). Multimodal analgesia.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NALTREXONE (oral)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72 hours before surgery to allow opioid receptor availability.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NALTREXONE (XR/Vivitrol)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≥30 days before elective surgery. IF emergency: opioid-free strategy only (regional, ketamine, dexmedetomidine).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OUD medication plan documented in anesthesia note. Pain team notified. Multimodal analgesia plan in place.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x6tsmrio9ac75nbeivq7h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Kohan L et al. ASRA/ASA/AAAM/ASAM Consensus on OUD Medications Perioperatively. Reg Anesth Pain Med. 2021;46:840. PMID 34385292.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F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HEPATIC / RENAL / RHEUMATOLOGIC (PATHWAYS 23–25)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23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HEPATIC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Cirrhosis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cirrhosis or significant liver disease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(Child-Pugh A)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for most surgeries. Hepatology consult for decompensated cirrhosis.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(Child-Pugh B)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Increased risk — careful risk-benefit analysis required. Hepatology co-management.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(Child-Pugh C)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CONTRAINDICATED for elective surgery (MELD &gt;20 → mortality &gt;50%). Hepatology + transplant evaluation. No elective procedures.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Coagulopathy: TEG/ROTEM-guided correction (NOT INR alone). Platelets &lt;50K → transfuse. Ascites: paracentesis if tense (albumin 6–8 g/L if &gt;5L drained). Nutrition: 1.2–1.5 g/kg protein.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TEG/ROTEM available in OR. Ascites decompressed. Nutrition optimized. Ammonia + lactulose plan in place.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Child-Pugh C: NOT MET (contraindicated). IF A/B: coagulation, volume, nutrition optimized.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2yjk52cjz4hq8qtnnhqlt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Northup PG et al. ACG Clinical Guideline: Coagulation in Cirrhosis. Am J Gastroenterol. 2021;116:1248.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24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RENAL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Chronic Kidney Disease / Dialysis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CKD (any stage) or dialysis-dependent ESRD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(CKD)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KDIGO bundle: volume optimization, AVOID nephrotoxins (NSAIDs, iodinated contrast), normoglycemia, Cr/UOP monitoring. Review all renally-cleared drugs.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(Dialysis)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Nephrology coordination. Establish optimal dry weight. Confirm access site protection plan.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Reconcile DOAC hold timing with eGFR (see Pathway 19 — dabigatran requires extended holds at CrCl 30–49).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 dose-adjustment review: avoid morphine, meperidine, tramadol, succinylcholine. Prefer cisatracurium + fentanyl/hydromorphone.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 (Dialysis)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Dialyze within 24 hours pre-op. NO heparin during final session. Verify: K+ &lt;5.5 mEq/L, Mg ≥2.0 mg/dL. Strict fluid balance.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dialysis: dialyzed &lt;24h, electrolytes verified, access protected. IF CKD: baseline documented, nephrotoxin avoidance plan in place.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42q2nsyeybc0zgkabhmuk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KDIGO. Clinical Practice Guideline for CKD Evaluation and Management. Kidney Int Suppl. 2013.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zcwrehuhb8bsacj4t17v6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Kopp SL et al. ASRA 5th Edition Anticoagulation Guidelines. Reg Anesth Pain Med. 2025.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25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RHEUMATOLOGIC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Rheumatoid Arthritis / Biologics (ACR/AAHKS 2022)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Rheumatoid arthritis or any biologic/DMARD therapy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all conventional DMARDs: methotrexate, hydroxychloroquine, sulfasalazine, leflunomide, apremilast. Evidence shows stopping increases flares without reducing infection.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WITHHOLD all biologics 1 dosing interval before surgery: TNF inhibitors, IL-6i, IL-17i, IL-23i, abatacept, rituximab. IF JAK inhibitors: hold ≥3 days.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Cervical flex/extension X-rays if cervical symptoms (atlantoaxial instability in 25% of RA). Assess TMJ and cricoarytenoid joints. Video laryngoscopy first-line airway approach.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Biologic holds documented. Restart all DMARDs and biologics ~14 days post-wound healing.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a5iuvhn5pecazktshhhxc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Goodman SM et al. 2022 ACR/AAHKS Guideline for Perioperative Management of Antirheumatic Medication. Arthritis Care Res. 2022.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G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NEUROLOGIC / ONCOLOGIC / GERIATRIC / SURGERY-SPECIFIC (PATHWAYS 26–31)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26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NEUROLOGIC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Myasthenia Gravis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myasthenia gravis (any MGFA class)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PFTs required: IF FVC &lt;20 mL/kg → high postoperative ventilatory failure risk. Optimize pyridostigmine. IF unstable → IVIG or plasmapheresis (PLEX).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Neurology co-management. Document MGFA classification in anesthesia note.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pyridostigmine (PO 60 mg ≈ IV 2 mg; do NOT abruptly stop). NMBA dosing: 10–25% of normal rocuronium dose. PREFER sugammadex reversal. Quantitative TOF monitoring MANDATORY. AVOID: aminoglycosides, magnesium, fluoroquinolones (worsen NMJ blockade). ICU bed required for MGFA III–V or FVC &lt;20 mL/kg.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PFTs documented. Pyridostigmine continued. Sugammadex available in OR. ICU bed confirmed if severe disease.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dg1pxm7t6amzp0vzhxg97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Daum M et al. Anaesthetic management of patients with myasthenia gravis. BJA Educ. 2021;21:414.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27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NEUROLOGIC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CC66"/>
                <w:sz w:val="18"/>
                <w:szCs w:val="18"/>
              </w:rPr>
              <w:t xml:space="preserve"> [MED]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Seizure Disorder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Known epilepsy or seizure disorder on AED therapy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all AEDs without interruption. Check phenytoin/valproate levels if applicable. Document AED names and doses.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AM dose with sip of water. IF extended NPO: IV conversion — levetiracetam 1:1 PO:IV; fosphenytoin 20 mg PE/kg IV; valproate 1:1; lacosamide 1:1. AVOID meperidine and tramadol (lower seizure threshold). Resume PO medications as soon as possible.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AED continuation plan documented in anesthesia note. IV formulation plans in place. Meperidine/tramadol avoided.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x2ex9lstp1-yzfurjbzuh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American Epilepsy Society. Perioperative Management of Antiseizure Medications.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28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ONCOLOGIC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Cancer / Chemotherapy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Active cancer or recent chemotherapy (within 8 weeks)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(Anthracycline/ICI)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Anthracycline exposure: echo + GLS + troponin + BNP. IF LVEF &lt;50% or GLS drop &gt;15% → cardio-oncology referral. ICI therapy: troponin baseline + serial monitoring (myocarditis 1–2%, mortality 25–40%).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Hematologic recovery check: ANC &gt;1.0–1.5 ×10³/μL, Platelets &gt;50K (≥100K for neuro/eye surgery). Minimum 3–4 weeks post-chemotherapy.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Targeted therapy holds: bevacizumab 6–8 weeks | TKIs ≥1 week | ICIs 1–3 weeks.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VTE risk: Khorana score ≥2 → pharmacologic thromboprophylaxis. IF high-risk cancer surgery: extended 4-week LMWH course.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recent chemo: NOT MET if &lt;3 weeks post-chemo (count recovery required). IF anthra/ICI: cardio-onc clearance obtained. Targeted therapy holds confirmed.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bm_kxcnikochshdecyjzk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Lyon AR et al. 2022 ESC Guidelines on Cardio-Oncology. Eur Heart J. 2022;43:4229.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f42hzlgqkbj72noqhz2ab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Key NS et al. ASCO VTE Prophylaxis Guideline. J Clin Oncol. 2023;41:3063.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29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FRAILTY/AGE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Elderly (≥75) / Frailty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Age ≥75, Clinical Frailty Scale (CFS) ≥5, or frailty/falls documented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CFS screening: CFS ≥7 → goals-of-care discussion + advance directives. CFS 5–6 → geriatric assessment. Screen cognitive baseline: Mini-Cog or MoCA (&lt;26 = impaired). Polypharmacy review per Beers 2023. Albumin, grip strength, protein assessment. Advance care planning.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Nutritional optimization: 1.2–1.5 g/kg protein/day. Physical prehabilitation if time permits.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ESAIC delirium bundle: orientation cues, natural light exposure, sleep hygiene, early mobilization, hydration, sensory aids (glasses/hearing aids in PACU). BIS monitoring target 40–60. AVOID benzos and anticholinergics. CONSIDER dexmedetomidine for sedation. Multimodal analgesia. Routine age-based ECG NOT indicated (ESAIC 2025).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Frailty documented. Delirium bundle orders active preoperatively. Advance directives on file. CAM/4AT orders placed q8–12h ×72h postop.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vzt8ywshz0ntxh8ll3xin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Aldecoa C et al. ESAIC Guideline on Postoperative Delirium. Eur J Anaesthesiol. 2024;41:81–108.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rr9vst1dyt-70dgol4uyw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Varley PR et al. Frailty and Surgical Outcomes. JAMA Surg. 2023.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30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SURGERY-SPECIFIC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Implant / Joint Replacement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Total hip or knee replacement, or any implant surgery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Nasal swab for S. aureus within 30 days. Universal decolonization protocol: mupirocin 2% nasal BID ×5 days + CHG 4% wash ×3–5 days. Anemia target: Hgb ≥13 on DOS (see Pathway 17).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Hgb &lt;13 → IV iron ≥2–4 weeks pre-op.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1–2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VTE prophylaxis plan: ASA 81 mg BID ×4–6 weeks (AAOS/ICM 2018) for standard risk. Elevated VTE risk → LMWH or DOAC. IPC for all patients.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decolonization completed. Preoperative antibiotics timed per SCIP guidelines. IPC applied in OR.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Swab negative or decolonization completed. Hgb ≥13 g/dL. VTE plan documented.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x3fmn6cmigxhscknnzimi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AAOS/ICM 2018 Guidelines on Implant-Related Infection.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jpn44elzkbq1esurj_5v_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AAHKS 2022 VTE Prevention Guidelines.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31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SURGERY-SPECIFIC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Vascular Surgery — Highest MACE Risk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Any major vascular surgery (suprainguinal, AAA, carotid, peripheral bypass)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Apply full 2024 AHA/ACC perioperative algorithm to ALL vascular patients. Order RCRI + DASI + BNP (Class 2a). PREOPERATIVE REVASCULARIZATION IS NOT BENEFICIAL (CARP trial).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4–7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Optimize GDMT: high-intensity statin, aspirin, beta-blocker (CONTINUE; do NOT start &lt;7 days pre-op).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Plan MINS surveillance: hs-cTn at 6–12h, POD 1, POD 2. Postop ICU or step-down monitoring.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workup complete. MINS surveillance orders placed. IF MINS detected: ASA + statin; consider dabigatran 110 mg BID (MANAGE); cardiology follow-up ≤30 days.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hntf9k0vmz3pptcha7esi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McFalls EO et al. CARP Trial. NEJM. 2004;351:2795.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b-27tdhtjgigcgupkskxa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Devereaux PJ et al. MANAGE trial. Lancet. 2018;391:2325.</w:t>
              </w:r>
            </w:hyperlink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7C6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BEEEE"/>
                <w:sz w:val="28"/>
                <w:szCs w:val="28"/>
              </w:rPr>
              <w:t xml:space="preserve">SECTION H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CROSS-CUTTING (PATHWAYS 32–34 + DOS CHECKLIST)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32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MEDICATIONS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ACEi / ARB Management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 taking ACE inhibitor or ARB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(HFrEF)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as GDMT (Class 2a). Do not hold for surgery.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 (HTN only)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24 hours before elevated-risk surgery (Class 2b, STOP-or-NOT and POISE-3). Continue all other antihypertensives.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IF HFrEF: CONTINUE through surgery. IF HTN-only: hold morning of surgery. RESTART within 48h postop. CRITICAL: 25% of patients are never restarted after surgery — document explicit restart order.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Indication clarified (HFrEF vs. HTN-only). Hold/continue decision documented. Restart order placed before discharge.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ekitpzzc079zkhe1hpxay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STOP-or-NOT Trial. ACEi/ARB Continuation vs. Discontinuation Before Surgery. JAMA. 2024.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cpn9whforz4m7a6deh3tf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Sessler DI et al. POISE-3 Trial. NEJM. 2022;386:1999.</w:t>
              </w:r>
            </w:hyperlink>
          </w:p>
        </w:tc>
      </w:tr>
    </w:tbl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bookmarkStart w:name="caprini" w:id="1"/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Caprini VTE Risk Score</w:t>
      </w:r>
      <w:bookmarkEnd w:id="1"/>
    </w:p>
    <w:p>
      <w:pPr>
        <w:spacing w:after="80"/>
      </w:pPr>
      <w:r>
        <w:rPr>
          <w:rFonts w:ascii="Arial" w:cs="Arial" w:eastAsia="Arial" w:hAnsi="Arial"/>
        </w:rPr>
        <w:t xml:space="preserve">Sum of individual risk factor points determines VTE prophylaxis tier: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920"/>
        <w:gridCol w:w="4800"/>
      </w:tblGrid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FACTOR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→ ACTION</w:t>
            </w:r>
          </w:p>
        </w:tc>
      </w:tr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 41–60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0: Minimal → Early ambulation only</w:t>
            </w:r>
          </w:p>
        </w:tc>
      </w:tr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 61–74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1–2: Low → Mechanical OR pharm</w:t>
            </w:r>
          </w:p>
        </w:tc>
      </w:tr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 ≥75 / Prior stroke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/ 5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3–4: Moderate → Pharm ± mech</w:t>
            </w:r>
          </w:p>
        </w:tc>
      </w:tr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cancer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5–7: High → Combined pharm + mech × hosp + 7–10d</w:t>
            </w:r>
          </w:p>
        </w:tc>
      </w:tr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 surgery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≥8: Very High → Combined + extended ≤30d</w:t>
            </w:r>
          </w:p>
        </w:tc>
      </w:tr>
      <w:tr>
        <w:tc>
          <w:tcPr>
            <w:tcW w:type="dxa" w:w="33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BMI ≥25</w:t>
            </w:r>
          </w:p>
        </w:tc>
        <w:tc>
          <w:tcPr>
            <w:tcW w:type="dxa" w:w="19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Cancer patients: LMWH preferred over UFH/aspirin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33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VTE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 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VTE Prophylaxis — Caprini Score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All surgical patients (Caprini score calculated for every patient)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Calculate Caprini score. Document tier. IPC devices for ALL patients in OR regardless of pharmacologic status.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IPC devices in OR. Reconcile pharmacologic timing with ASRA 5th Ed neuraxial anesthesia intervals. Initiate pharmacologic prophylaxis per tier and timing constraints.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Caprini score documented. Pharmacologic + mechanical plan ordered per tier. Duration of extended prophylaxis specified.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lbw4hxxu8cmxrba9yaixv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Pannucci CJ et al. Validation of the Caprini Risk Assessment Model. Ann Surg. 2011;253:1053.</w:t>
              </w:r>
            </w:hyperlink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2. </w:t>
            </w:r>
            <w:hyperlink w:history="1" r:id="rIda9fbbagda2ilr48wbcvgm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Guyatt GH et al. Antithrombotic Therapy and Prevention of Thrombosis, 9th ed. CHEST. 2012;141(Suppl):7S.</w:t>
              </w:r>
            </w:hyperlink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0080"/>
            <w:gridSpan w:val="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Pathway 34  </w:t>
            </w:r>
            <w:r>
              <w:rPr>
                <w:rFonts w:ascii="Arial" w:cs="Arial" w:eastAsia="Arial" w:hAnsi="Arial"/>
                <w:b/>
                <w:bCs/>
                <w:color w:val="88DDCC"/>
                <w:sz w:val="19"/>
                <w:szCs w:val="19"/>
              </w:rPr>
              <w:t xml:space="preserve">NEUROLOGIC  </w:t>
            </w:r>
            <w:r>
              <w:rPr>
                <w:rFonts w:ascii="Arial" w:cs="Arial" w:eastAsia="Arial" w:hAnsi="Arial"/>
                <w:color w:val="AACCBB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CC66"/>
                <w:sz w:val="18"/>
                <w:szCs w:val="18"/>
              </w:rPr>
              <w:t xml:space="preserve"> [MED]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Delirium Prevention (ESAIC 2024)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E6F5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Age ≥65, Mini-Cog abnormal, or CFS ≥5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≥8 WK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Screen cognitive baseline: MoCA or Mini-Cog pre-op. Document baseline cognition. Identify modifiable delirium risk factors: polypharmacy, sleep disruption, hearing/vision impairment.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DAY OF SURGERY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Implement ESAIC delirium prevention bundle: (1) orientation cues in PACU/floor, (2) natural light during day, (3) uninterrupted sleep at night, (4) early mobilization, (5) hydration, (6) sensory aids returned immediately (glasses + hearing aids), (7) multimodal analgesia. BIS target 40–60. AVOID benzos and anticholinergics. CONSIDER dexmedetomidine for sedation needs.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READINESS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Bundle orders active. CAM or 4AT assessment q8–12h ×72h postop.</w:t>
            </w:r>
          </w:p>
        </w:tc>
      </w:tr>
      <w:tr>
        <w:tc>
          <w:tcPr>
            <w:tcW w:type="dxa" w:w="12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274"/>
                <w:sz w:val="16"/>
                <w:szCs w:val="16"/>
              </w:rPr>
              <w:t xml:space="preserve">SOURCES</w:t>
            </w:r>
          </w:p>
        </w:tc>
        <w:tc>
          <w:tcPr>
            <w:tcW w:type="dxa" w:w="88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4"/>
            </w:pPr>
            <w:r>
              <w:rPr>
                <w:rFonts w:ascii="Arial" w:cs="Arial" w:eastAsia="Arial" w:hAnsi="Arial"/>
                <w:color w:val="4A6274"/>
                <w:sz w:val="17"/>
                <w:szCs w:val="17"/>
              </w:rPr>
              <w:t xml:space="preserve">1. </w:t>
            </w:r>
            <w:hyperlink w:history="1" r:id="rIdjivtsv1z5d7np-1_wdeqv">
              <w:r>
                <w:rPr>
                  <w:rFonts w:ascii="Arial" w:cs="Arial" w:eastAsia="Arial" w:hAnsi="Arial"/>
                  <w:color w:val="0D7C66"/>
                  <w:sz w:val="17"/>
                  <w:szCs w:val="17"/>
                  <w:u w:val="single"/>
                </w:rPr>
                <w:t xml:space="preserve">Aldecoa C et al. ESAIC Evidence-Based Guideline on Postoperative Delirium. Eur J Anaesthesiol. 2024;41:81–108.</w:t>
              </w:r>
            </w:hyperlink>
          </w:p>
        </w:tc>
      </w:tr>
    </w:tbl>
    <w:p>
      <w:r>
        <w:br w:type="page"/>
      </w:r>
    </w:p>
    <w:p>
      <w:pPr>
        <w:pStyle w:val="Heading1"/>
        <w:shd w:fill="1B3A5C" w:val="clear"/>
        <w:spacing w:after="160" w:before="240"/>
        <w:ind w:left="180"/>
      </w:pPr>
      <w:bookmarkStart w:name="dos-checklist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Day-of-Surgery Master Verification Checklist</w:t>
      </w:r>
      <w:bookmarkEnd w:id="1"/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BASE (all patients): </w:t>
      </w:r>
      <w:r>
        <w:rPr>
          <w:rFonts w:ascii="Arial" w:cs="Arial" w:eastAsia="Arial" w:hAnsi="Arial"/>
        </w:rPr>
        <w:t xml:space="preserve">Medications held/continued per plan • Labs within range • POC glucose on arrival • K+ for diuretic patients • Pregnancy test if applicable • Consent signed • Resuscitation preferences confirmed</w:t>
      </w:r>
    </w:p>
    <w:p>
      <w:pPr>
        <w:pBdr>
          <w:bottom w:val="single" w:color="C8D8D4" w:sz="2"/>
        </w:pBdr>
        <w:spacing w:after="12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Condition-Specific DOS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DAY-OF VERIFICATION ITEM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CAD / Prior MI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BB continued • Statin continued • Troponin orders at 24h + 48h placed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Heart Failure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Euvolemic • GDMT reconciled • SGLT2i held if applicable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SGLT2 inhibitor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POC β-hydroxybutyrate &lt;0.6 verified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GLP-1 RA (high risk)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Gastric US performed • RSI plan in place if retained solids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Diabetes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HbA1c on file • Insulin pump plan documented • POC glucose on arrival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Stress-dose steroid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Hydrocortisone dose per surgery magnitude ordered + available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Pheochromocytoma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Roizen criteria confirmed met • Phentolamine/esmolol in OR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Anemia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Hgb recheck documented • Blood bank crossmatch confirmed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Sickle cell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Hgb 10 confirmed • HbS at target • Phenotypically matched blood • Warming • SpO₂ &gt;95% target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Anticoagulation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Hold timing verified per ASRA 5th Ed • Anti-Xa as needed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Smoking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Cessation verified • NRT patch applied on admission • IS at bedside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Heavy alcohol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Thiamine administered • CIWA-Ar orders written • ICU if PAWSS+ history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OSA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CPAP at bedside • Continuous SpO₂ orders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RA / biologics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Cervical imaging reviewed • Video laryngoscope ready • Biologic hold confirmed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Myasthenia gravis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Sugammadex available • Quantitative TOF set up • ICU bed if MGFA III–V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Seizure disorder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AED AM dose given • IV conversion plan documented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CIED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Reprogram / magnet plan in anesthesia note • External defib pads applied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Pulmonary HTN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Inhaled NO available • Invasive arterial monitoring placed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Cirrhosis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TEG/ROTEM available • Platelet threshold 50K • Albumin/ascites plan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Dialysis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Dialyzed &lt;24h • K+ &lt;5.5 • Mg ≥2.0 • Access site protected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Implant/Joint Replacement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Decolonization complete • Preop antibiotics timed • IPC in OR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Vascular surgery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MINS surveillance orders placed (hs-cTn 6–12h, POD 1, POD 2)</w:t>
            </w:r>
          </w:p>
        </w:tc>
      </w:tr>
      <w:tr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Elderly ≥65</w:t>
            </w:r>
          </w:p>
        </w:tc>
        <w:tc>
          <w:tcPr>
            <w:tcW w:type="dxa" w:w="648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Delirium bundle orders active • BIS 40–60 planned • CAM/4AT orders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60" w:before="240"/>
        <w:ind w:left="180"/>
      </w:pPr>
      <w:bookmarkStart w:name="era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ERAS Principles</w:t>
      </w:r>
      <w:bookmarkEnd w:id="1"/>
    </w:p>
    <w:p>
      <w:pPr>
        <w:spacing w:after="80"/>
      </w:pPr>
      <w:r>
        <w:rPr>
          <w:rFonts w:ascii="Arial" w:cs="Arial" w:eastAsia="Arial" w:hAnsi="Arial"/>
        </w:rPr>
        <w:t xml:space="preserve">Enhanced Recovery After Surgery (ERAS) Society protocols apply disease-specific pathways for colorectal, orthopedic, gynecologic, cardiac, and other surgery types.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3600"/>
      </w:tblGrid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ERAS ELEMENT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Carbohydrate loading (12.5% CHO drink 2h pre-op)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insulin resistance; Class IA evidence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education + expectation setting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anxiety and LOS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Prehabilitation (exercise + nutrition + psychology)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Improves functional capacity and recovery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Intra-op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Goal-directed fluid therapy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fluid overload and organ injury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Intra-op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Normothermia (active warming)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SSI and coagulopathy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Intra-op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Multimodal analgesia (opioid-sparing)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PONV and ileus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Early mobilization (day of surgery)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VTE, atelectasis, ileus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Early oral intake (day of surgery)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catabolic state</w:t>
            </w:r>
          </w:p>
        </w:tc>
      </w:tr>
      <w:tr>
        <w:tc>
          <w:tcPr>
            <w:tcW w:type="dxa" w:w="216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0F4F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Post-op</w:t>
            </w:r>
          </w:p>
        </w:tc>
        <w:tc>
          <w:tcPr>
            <w:tcW w:type="dxa" w:w="432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Avoid routine urinary catheters</w:t>
            </w:r>
          </w:p>
        </w:tc>
        <w:tc>
          <w:tcPr>
            <w:tcW w:type="dxa" w:w="3600"/>
            <w:tcBorders>
              <w:top w:val="single" w:color="C8D8D4" w:sz="1"/>
              <w:left w:val="single" w:color="C8D8D4" w:sz="1"/>
              <w:bottom w:val="single" w:color="C8D8D4" w:sz="1"/>
              <w:right w:val="single" w:color="C8D8D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UTI and mobilization delay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</w:rPr>
        <w:t xml:space="preserve">Reference: ERAS Society — </w:t>
      </w:r>
      <w:hyperlink w:history="1" r:id="rIdottxmlspx_mnm1ukmj668">
        <w:r>
          <w:rPr>
            <w:rFonts w:ascii="Arial" w:cs="Arial" w:eastAsia="Arial" w:hAnsi="Arial"/>
            <w:color w:val="0D7C66"/>
            <w:u w:val="single"/>
          </w:rPr>
          <w:t xml:space="preserve">www.eras-society.org</w:t>
        </w:r>
      </w:hyperlink>
    </w:p>
    <w:p>
      <w:r>
        <w:br w:type="page"/>
      </w:r>
    </w:p>
    <w:p>
      <w:pPr>
        <w:pStyle w:val="Heading1"/>
        <w:shd w:fill="1B3A5C" w:val="clear"/>
        <w:spacing w:after="160" w:before="240"/>
        <w:ind w:left="180"/>
      </w:pPr>
      <w:bookmarkStart w:name="references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Complete Reference List</w:t>
      </w:r>
      <w:bookmarkEnd w:id="1"/>
    </w:p>
    <w:p>
      <w:pPr>
        <w:spacing w:after="60"/>
      </w:pPr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A — Cardiovascular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tnug-htknscis_gh38sa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Fleisher LA et al. 2024 AHA/ACC Guideline for Perioperative Cardiovascular Management for Noncardiac Surgery. Circulation. 2024.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oiwuhlydpvablgdqixrk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Devereaux PJ et al. Effects of extended-release metoprolol succinate (POISE). Lancet. 2008;371:1839–47.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xlkangimjihwbie7nq4l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Devereaux PJ et al. Dabigatran in patients with MINS (MANAGE). Lancet. 2018;391:2325–34.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bdlybh69tktfy6y4ekv1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Heidenreich PA et al. 2022 AHA/ACC Heart Failure Guideline. Circulation. 2022;145:e895.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btemfn0ulv5u1ntc9hr3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Otto CM et al. 2021 AHA/ACC Valvular Heart Disease Guideline. Circulation. 2021;143:e72.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sg2cobvutjcq3l7jxkvq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Douketis JD et al. BRIDGE Trial. NEJM. 2015;373:823–33.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-rqwskg6qfgg5xumfhrul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Humbert M et al. 2022 ESC/ERS Pulmonary Hypertension Guidelines. Eur Heart J. 2022;43:3618.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evf0nadfqik0g-f0rbbk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Glance LG et al. Perioperative MACE after prior stroke. JAMA Surg. 2022.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yh_uaeuqzu0qumdzhm_j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Crossley GH et al. HRS Expert Consensus on CIED Perioperative Management. Heart Rhythm. 2011;8:1114.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B — Respiratory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jh7jorheiq2dbkwnbgzj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Global Initiative for Chronic Obstructive Lung Disease (GOLD). 2025 GOLD Report.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68kmsshgfcws-6h7s935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Global Initiative for Asthma (GINA). 2024 GINA Main Report.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agndbp2fcafd2vkzgdss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Chung F et al. STOP-Bang Questionnaire for OSA Screening. Anesth Analg. 2016;123:227.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C — Endocrine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hhqbxkb143brcumzl866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American Diabetes Association. Standards of Medical Care in Diabetes 2025. Diabetes Care. 2025;48(Suppl 1).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xe0qz69qofhggmtsgzuj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Multi-Society Guidance on Perioperative GLP-1 RA Management. Surg Endosc. 2025.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zwphdvntoxand-bmrkov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Lenders JW et al. Endocrine Society Guideline: Pheochromocytoma/Paraganglioma. JCEM. 2014;99:1915.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clxynbvtxetdzbckof1q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Woodcock T et al. Management of glucocorticoids peri-operatively. Anaesthesia. 2020;75:654.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fjqnjmsxdhjispwnbmmi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Bornstein SR et al. Diagnosis and Treatment of Primary Adrenal Insufficiency. JCEM. 2016;101:364.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D — Hematologic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g0yfg3mu2l5xgewipunw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Richards T et al. ICCAMS Consensus on Perioperative Iron Deficiency. Ann Surg. 2023.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z3jko_akovgtiw6p5rgd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Hébert PC et al. TRICC Trial — Transfusion Requirements in Critical Care. NEJM. 1999;340:409.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e8jygnid_5xksamcn-qa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Vichinsky EP et al. Conservative vs. Aggressive Transfusion in Sickle Cell Surgery. NEJM. 1995;333:206.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3hie-fvbc_kvnwg0twa5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Kopp SL et al. ASRA Pain Medicine Consensus Guidelines — Fifth Edition. Reg Anesth Pain Med. 2025. PMID 39880411.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E — Substance Use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deo55t63p_vp7lxa4fea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Mills E et al. Smoking cessation reduces postoperative complications. Am J Med. 2011;124:144.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itkg4lbtols4z7fzves0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Wong J et al. Short-term preoperative smoking cessation benefits. Anesth Analg. 2017.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aog1wo5hslrf65fupirk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Maldonado JR et al. Prediction of Alcohol Withdrawal Severity Scale (PAWSS). Alcohol Alcohol. 2014;49:125.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qdmlitsyolyx2vyux4-a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Kohan L et al. ASRA/ASA/AAAM/ASAM Consensus on OUD Medications. Reg Anesth Pain Med. 2021;46:840.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F — Hepatic / Renal / Rheumatologic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eob8isnrvhooxde2i-oh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Northup PG et al. ACG Clinical Guideline: Coagulation in Cirrhosis. Am J Gastroenterol. 2021;116:1248.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21xevyrlbwe773vhiebp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KDIGO. Clinical Practice Guideline for CKD Evaluation and Management. Kidney Int Suppl. 2013.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usky7ydzqdu8b0benr1g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Goodman SM et al. 2022 ACR/AAHKS Guideline for Perioperative Management. Arthritis Care Res. 2022.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G — Neurologic / Oncologic / Geriatric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lcxpczjpehipoi_dxscc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Daum M et al. Anaesthetic management of myasthenia gravis. BJA Educ. 2021;21:414.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6yucaeuxqcdopphvs2wkp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Lyon AR et al. 2022 ESC Guidelines on Cardio-Oncology. Eur Heart J. 2022;43:4229.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gqfwovckrfrn2koxn9gh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Key NS et al. ASCO VTE Prophylaxis Guideline. J Clin Oncol. 2023;41:3063.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l387f_ipsv7fyr7d_yed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Aldecoa C et al. ESAIC Evidence-Based Guideline on Postoperative Delirium. Eur J Anaesthesiol. 2024;41:81.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1tia1nlz_zijzrfmwwohg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Varley PR et al. Frailty and Surgical Outcomes. JAMA Surg. 2023.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v5rosinyzj-rcg5qrjjm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McFalls EO et al. CARP Trial. NEJM. 2004;351:2795.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H — Cross-Cutting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clvylvb1lythrhibsbmd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STOP-or-NOT Trial. ACEi/ARB Continuation Before Surgery. JAMA. 2024.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boblwqwpdl65ud7pznks1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Sessler DI et al. POISE-3 Trial. NEJM. 2022;386:1999.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wappgt-zpm39waqflzkj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Pannucci CJ et al. Validation of the Caprini Risk Assessment Model. Ann Surg. 2011;253:1053.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ndjakehqqkhr35o_qbs8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Guyatt GH et al. Antithrombotic Therapy and Prevention of Thrombosis, 9th ed. CHEST. 2012;141(Suppl):7S.</w:t>
        </w:r>
      </w:hyperlink>
    </w:p>
    <w:p>
      <w:pPr>
        <w:pStyle w:val="Heading2"/>
        <w:pBdr>
          <w:bottom w:val="single" w:color="0D7C66" w:sz="4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Additional 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n7unrh1rj1qo-bxe38cd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Lee TH et al. Revised Cardiac Risk Index (RCRI). Circulation. 1999;100:1043.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5evk-ytxiekytrilbcvh3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Hlatky MA et al. Duke Activity Status Index (DASI). Am J Cardiol. 1989;64:651.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8yn2yoavkmcy2hrsgtbf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ERAS Society. Perioperative Care Protocols. eras-society.org.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jcvxxsu0vgj3tspwnacl">
        <w:r>
          <w:rPr>
            <w:rFonts w:ascii="Arial" w:cs="Arial" w:eastAsia="Arial" w:hAnsi="Arial"/>
            <w:color w:val="0D7C66"/>
            <w:sz w:val="19"/>
            <w:szCs w:val="19"/>
            <w:u w:val="single"/>
          </w:rPr>
          <w:t xml:space="preserve">ASA Practice Guidelines for Preoperative Fasting. Anesthesiology. 2023.</w:t>
        </w:r>
      </w:hyperlink>
    </w:p>
    <w:p>
      <w:pPr>
        <w:spacing w:after="60"/>
      </w:pPr>
    </w:p>
    <w:p>
      <w:pPr>
        <w:spacing w:after="60"/>
      </w:pPr>
    </w:p>
    <w:p>
      <w:pPr>
        <w:pBdr>
          <w:top w:val="single" w:color="0D7C66" w:sz="4"/>
        </w:pBdr>
        <w:spacing w:before="160"/>
        <w:jc w:val="center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SurgeryReady.net  |  Health before healthcare™</w:t>
      </w:r>
      <w:r>
        <w:rPr>
          <w:rFonts w:ascii="Arial" w:cs="Arial" w:eastAsia="Arial" w:hAnsi="Arial"/>
          <w:color w:val="4A6274"/>
          <w:sz w:val="18"/>
          <w:szCs w:val="18"/>
        </w:rPr>
        <w:t xml:space="preserve">  |  Evidence-based perioperative optimization for patients and their physicians.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D4" w:sz="2"/>
      </w:pBdr>
      <w:spacing w:before="80"/>
      <w:jc w:val="center"/>
    </w:pPr>
    <w:r>
      <w:rPr>
        <w:rFonts w:ascii="Arial" w:cs="Arial" w:eastAsia="Arial" w:hAnsi="Arial"/>
        <w:color w:val="4A6274"/>
        <w:sz w:val="17"/>
        <w:szCs w:val="17"/>
      </w:rPr>
      <w:t xml:space="preserve">SurgeryReady.net  •  Health before healthcare™  •  </w:t>
    </w:r>
    <w:r>
      <w:rPr>
        <w:rFonts w:ascii="Arial" w:cs="Arial" w:eastAsia="Arial" w:hAnsi="Arial"/>
        <w:color w:val="4A6274"/>
        <w:sz w:val="17"/>
        <w:szCs w:val="17"/>
      </w:rPr>
      <w:t xml:space="preserve">Page </w:t>
    </w:r>
    <w:r>
      <w:rPr>
        <w:rFonts w:ascii="Arial" w:cs="Arial" w:eastAsia="Arial" w:hAnsi="Arial"/>
        <w:color w:val="4A627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6274"/>
        <w:sz w:val="17"/>
        <w:szCs w:val="17"/>
      </w:rPr>
      <w:t xml:space="preserve"> of </w:t>
    </w:r>
    <w:r>
      <w:rPr>
        <w:rFonts w:ascii="Arial" w:cs="Arial" w:eastAsia="Arial" w:hAnsi="Arial"/>
        <w:color w:val="4A6274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66" w:sz="4"/>
      </w:pBdr>
      <w:spacing w:after="8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SurgeryReady  |  Clinical Guidelines Master Reference</w:t>
    </w:r>
    <w:r>
      <w:rPr>
        <w:rFonts w:ascii="Arial" w:cs="Arial" w:eastAsia="Arial" w:hAnsi="Arial"/>
        <w:sz w:val="18"/>
        <w:szCs w:val="18"/>
      </w:rPr>
      <w:t xml:space="preserve">          </w:t>
    </w:r>
    <w:r>
      <w:rPr>
        <w:rFonts w:ascii="Arial" w:cs="Arial" w:eastAsia="Arial" w:hAnsi="Arial"/>
        <w:i/>
        <w:iCs/>
        <w:color w:val="4A6274"/>
        <w:sz w:val="17"/>
        <w:szCs w:val="17"/>
      </w:rPr>
      <w:t xml:space="preserve">Confidential — Not for patient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7C66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uyez8c7td7p2l5pqkkc7-" Type="http://schemas.openxmlformats.org/officeDocument/2006/relationships/hyperlink" Target="https://pubmed.ncbi.nlm.nih.gov/39320289/" TargetMode="External"/>
  <Relationship Id="rIdzv2gzhfwo6gar7sawuc-s" Type="http://schemas.openxmlformats.org/officeDocument/2006/relationships/hyperlink" Target="https://pubmed.ncbi.nlm.nih.gov/18479744/" TargetMode="External"/>
  <Relationship Id="rIdchihaitb9ffchz-mxaiw5" Type="http://schemas.openxmlformats.org/officeDocument/2006/relationships/hyperlink" Target="https://pubmed.ncbi.nlm.nih.gov/30025699/" TargetMode="External"/>
  <Relationship Id="rIdfnt2zgpxbjjshcbd_8v2z" Type="http://schemas.openxmlformats.org/officeDocument/2006/relationships/hyperlink" Target="https://pubmed.ncbi.nlm.nih.gov/35363499/" TargetMode="External"/>
  <Relationship Id="rIdi2rr7mhqrorxq6aa9dyrj" Type="http://schemas.openxmlformats.org/officeDocument/2006/relationships/hyperlink" Target="https://pubmed.ncbi.nlm.nih.gov/39320289/" TargetMode="External"/>
  <Relationship Id="rIdp4s7hhedy5ctiheflmxbf" Type="http://schemas.openxmlformats.org/officeDocument/2006/relationships/hyperlink" Target="https://pubmed.ncbi.nlm.nih.gov/34353922/" TargetMode="External"/>
  <Relationship Id="rIdvoaqfh7w7kq3w1g2t7ssn" Type="http://schemas.openxmlformats.org/officeDocument/2006/relationships/hyperlink" Target="https://pubmed.ncbi.nlm.nih.gov/39320289/" TargetMode="External"/>
  <Relationship Id="rIdjza2w5m42nspn_u98jb1d" Type="http://schemas.openxmlformats.org/officeDocument/2006/relationships/hyperlink" Target="https://pubmed.ncbi.nlm.nih.gov/39320289/" TargetMode="External"/>
  <Relationship Id="rIdl5pdb6vss8udzyidmkpir" Type="http://schemas.openxmlformats.org/officeDocument/2006/relationships/hyperlink" Target="https://pubmed.ncbi.nlm.nih.gov/26095867/" TargetMode="External"/>
  <Relationship Id="rIds_axv8eir6bwryu0v2mdg" Type="http://schemas.openxmlformats.org/officeDocument/2006/relationships/hyperlink" Target="https://pubmed.ncbi.nlm.nih.gov/39880411/" TargetMode="External"/>
  <Relationship Id="rIdnroccpapykpdampmvwrvj" Type="http://schemas.openxmlformats.org/officeDocument/2006/relationships/hyperlink" Target="https://pubmed.ncbi.nlm.nih.gov/36017548/" TargetMode="External"/>
  <Relationship Id="rIdaa2s4pxyikr4vg6z0hjof" Type="http://schemas.openxmlformats.org/officeDocument/2006/relationships/hyperlink" Target="https://pubmed.ncbi.nlm.nih.gov/39320289/" TargetMode="External"/>
  <Relationship Id="rIdm47ne70ifav2ipncvzohj" Type="http://schemas.openxmlformats.org/officeDocument/2006/relationships/hyperlink" Target="https://pubmed.ncbi.nlm.nih.gov/35044421/" TargetMode="External"/>
  <Relationship Id="rIds-t0ebhrehwqgqcelexl1" Type="http://schemas.openxmlformats.org/officeDocument/2006/relationships/hyperlink" Target="https://pubmed.ncbi.nlm.nih.gov/39320289/" TargetMode="External"/>
  <Relationship Id="rIdff1l9nfvpwalztxv-pt7j" Type="http://schemas.openxmlformats.org/officeDocument/2006/relationships/hyperlink" Target="https://pubmed.ncbi.nlm.nih.gov/21722856/" TargetMode="External"/>
  <Relationship Id="rId2gsetdlamqpfz9ocsnfj7" Type="http://schemas.openxmlformats.org/officeDocument/2006/relationships/hyperlink" Target="https://goldcopd.org/2025-gold-report/" TargetMode="External"/>
  <Relationship Id="rIdimkse-zc9rrkipbhcqzr9" Type="http://schemas.openxmlformats.org/officeDocument/2006/relationships/hyperlink" Target="https://pubmed.ncbi.nlm.nih.gov/39320289/" TargetMode="External"/>
  <Relationship Id="rIdlndnjtyz5wdwwvffh2azb" Type="http://schemas.openxmlformats.org/officeDocument/2006/relationships/hyperlink" Target="https://pubmed.ncbi.nlm.nih.gov/26895655/" TargetMode="External"/>
  <Relationship Id="rIdwrck0usk784dzi71aiy3e" Type="http://schemas.openxmlformats.org/officeDocument/2006/relationships/hyperlink" Target="https://pubmed.ncbi.nlm.nih.gov/39320289/" TargetMode="External"/>
  <Relationship Id="rIdak_dkixgslrivr5bk1pgo" Type="http://schemas.openxmlformats.org/officeDocument/2006/relationships/hyperlink" Target="https://ginasthma.org/2024-gina-main-report/" TargetMode="External"/>
  <Relationship Id="rIda4f1zn-22ui8vpipierwl" Type="http://schemas.openxmlformats.org/officeDocument/2006/relationships/hyperlink" Target="https://diabetesjournals.org/care/issue/48/Supplement_1" TargetMode="External"/>
  <Relationship Id="rIduivtr97ip2akcqg_tyxju" Type="http://schemas.openxmlformats.org/officeDocument/2006/relationships/hyperlink" Target="https://pubmed.ncbi.nlm.nih.gov/38265461/" TargetMode="External"/>
  <Relationship Id="rId8u1ookiusokmuto7rklds" Type="http://schemas.openxmlformats.org/officeDocument/2006/relationships/hyperlink" Target="https://pubmed.ncbi.nlm.nih.gov/39688735/" TargetMode="External"/>
  <Relationship Id="rIdr-dvtanlcilzkb1k4c-ks" Type="http://schemas.openxmlformats.org/officeDocument/2006/relationships/hyperlink" Target="https://pubmed.ncbi.nlm.nih.gov/39320289/" TargetMode="External"/>
  <Relationship Id="rId2_bkol_y-4fvijrqelw5e" Type="http://schemas.openxmlformats.org/officeDocument/2006/relationships/hyperlink" Target="https://pubmed.ncbi.nlm.nih.gov/24893135/" TargetMode="External"/>
  <Relationship Id="rIdiqqnwqmkcizxbhp3ohyg3" Type="http://schemas.openxmlformats.org/officeDocument/2006/relationships/hyperlink" Target="https://pubmed.ncbi.nlm.nih.gov/31903587/" TargetMode="External"/>
  <Relationship Id="rIdplbsnsr92tfyihkupicft" Type="http://schemas.openxmlformats.org/officeDocument/2006/relationships/hyperlink" Target="https://pubmed.ncbi.nlm.nih.gov/26760044/" TargetMode="External"/>
  <Relationship Id="rIdpoivie5fgt3qcvx_3xfo8" Type="http://schemas.openxmlformats.org/officeDocument/2006/relationships/hyperlink" Target="https://pubmed.ncbi.nlm.nih.gov/37772477/" TargetMode="External"/>
  <Relationship Id="rIdw1eqxhhhhv2pfut1twvn8" Type="http://schemas.openxmlformats.org/officeDocument/2006/relationships/hyperlink" Target="https://pubmed.ncbi.nlm.nih.gov/9971864/" TargetMode="External"/>
  <Relationship Id="rIdhfbdq7lympvcgushtfzip" Type="http://schemas.openxmlformats.org/officeDocument/2006/relationships/hyperlink" Target="https://pubmed.ncbi.nlm.nih.gov/7791837/" TargetMode="External"/>
  <Relationship Id="rIdbcvl2jzwicxlga2cxzmjq" Type="http://schemas.openxmlformats.org/officeDocument/2006/relationships/hyperlink" Target="https://pubmed.ncbi.nlm.nih.gov/39880411/" TargetMode="External"/>
  <Relationship Id="rIdibqvdxuwjyepfwisacll_" Type="http://schemas.openxmlformats.org/officeDocument/2006/relationships/hyperlink" Target="https://pubmed.ncbi.nlm.nih.gov/21272753/" TargetMode="External"/>
  <Relationship Id="rIdpe0onlrhj1f-ximqxeb8s" Type="http://schemas.openxmlformats.org/officeDocument/2006/relationships/hyperlink" Target="https://pubmed.ncbi.nlm.nih.gov/27167465/" TargetMode="External"/>
  <Relationship Id="rIds7tap9cvkddwwfbw6kyrp" Type="http://schemas.openxmlformats.org/officeDocument/2006/relationships/hyperlink" Target="https://pubmed.ncbi.nlm.nih.gov/24699255/" TargetMode="External"/>
  <Relationship Id="rIdx6tsmrio9ac75nbeivq7h" Type="http://schemas.openxmlformats.org/officeDocument/2006/relationships/hyperlink" Target="https://pubmed.ncbi.nlm.nih.gov/34385292/" TargetMode="External"/>
  <Relationship Id="rId2yjk52cjz4hq8qtnnhqlt" Type="http://schemas.openxmlformats.org/officeDocument/2006/relationships/hyperlink" Target="https://pubmed.ncbi.nlm.nih.gov/34003804/" TargetMode="External"/>
  <Relationship Id="rId42q2nsyeybc0zgkabhmuk" Type="http://schemas.openxmlformats.org/officeDocument/2006/relationships/hyperlink" Target="https://kdigo.org/guidelines/ckd-evaluation-and-management/" TargetMode="External"/>
  <Relationship Id="rIdzcwrehuhb8bsacj4t17v6" Type="http://schemas.openxmlformats.org/officeDocument/2006/relationships/hyperlink" Target="https://pubmed.ncbi.nlm.nih.gov/39880411/" TargetMode="External"/>
  <Relationship Id="rIda5iuvhn5pecazktshhhxc" Type="http://schemas.openxmlformats.org/officeDocument/2006/relationships/hyperlink" Target="https://pubmed.ncbi.nlm.nih.gov/35718887/" TargetMode="External"/>
  <Relationship Id="rIddg1pxm7t6amzp0vzhxg97" Type="http://schemas.openxmlformats.org/officeDocument/2006/relationships/hyperlink" Target="https://pubmed.ncbi.nlm.nih.gov/33551985/" TargetMode="External"/>
  <Relationship Id="rIdx2ex9lstp1-yzfurjbzuh" Type="http://schemas.openxmlformats.org/officeDocument/2006/relationships/hyperlink" Target="https://www.aesnet.org/" TargetMode="External"/>
  <Relationship Id="rIdbm_kxcnikochshdecyjzk" Type="http://schemas.openxmlformats.org/officeDocument/2006/relationships/hyperlink" Target="https://pubmed.ncbi.nlm.nih.gov/36017585/" TargetMode="External"/>
  <Relationship Id="rIdf42hzlgqkbj72noqhz2ab" Type="http://schemas.openxmlformats.org/officeDocument/2006/relationships/hyperlink" Target="https://pubmed.ncbi.nlm.nih.gov/36943943/" TargetMode="External"/>
  <Relationship Id="rIdvzt8ywshz0ntxh8ll3xin" Type="http://schemas.openxmlformats.org/officeDocument/2006/relationships/hyperlink" Target="https://pubmed.ncbi.nlm.nih.gov/37916500/" TargetMode="External"/>
  <Relationship Id="rIdrr9vst1dyt-70dgol4uyw" Type="http://schemas.openxmlformats.org/officeDocument/2006/relationships/hyperlink" Target="https://pubmed.ncbi.nlm.nih.gov/37285114/" TargetMode="External"/>
  <Relationship Id="rIdx3fmn6cmigxhscknnzimi" Type="http://schemas.openxmlformats.org/officeDocument/2006/relationships/hyperlink" Target="https://www.aaos.org/quality/quality-programs/hip-and-knee-replacement/" TargetMode="External"/>
  <Relationship Id="rIdjpn44elzkbq1esurj_5v_" Type="http://schemas.openxmlformats.org/officeDocument/2006/relationships/hyperlink" Target="https://www.aahks.org/care-for-hips-knees/do-i-need-a-joint-replacement/thrombosis-prevention/" TargetMode="External"/>
  <Relationship Id="rIdhntf9k0vmz3pptcha7esi" Type="http://schemas.openxmlformats.org/officeDocument/2006/relationships/hyperlink" Target="https://pubmed.ncbi.nlm.nih.gov/15548778/" TargetMode="External"/>
  <Relationship Id="rIdb-27tdhtjgigcgupkskxa" Type="http://schemas.openxmlformats.org/officeDocument/2006/relationships/hyperlink" Target="https://pubmed.ncbi.nlm.nih.gov/30025699/" TargetMode="External"/>
  <Relationship Id="rIdekitpzzc079zkhe1hpxay" Type="http://schemas.openxmlformats.org/officeDocument/2006/relationships/hyperlink" Target="https://pubmed.ncbi.nlm.nih.gov/38265461/" TargetMode="External"/>
  <Relationship Id="rIdcpn9whforz4m7a6deh3tf" Type="http://schemas.openxmlformats.org/officeDocument/2006/relationships/hyperlink" Target="https://pubmed.ncbi.nlm.nih.gov/35443108/" TargetMode="External"/>
  <Relationship Id="rIdlbw4hxxu8cmxrba9yaixv" Type="http://schemas.openxmlformats.org/officeDocument/2006/relationships/hyperlink" Target="https://pubmed.ncbi.nlm.nih.gov/21178766/" TargetMode="External"/>
  <Relationship Id="rIda9fbbagda2ilr48wbcvgm" Type="http://schemas.openxmlformats.org/officeDocument/2006/relationships/hyperlink" Target="https://pubmed.ncbi.nlm.nih.gov/22315267/" TargetMode="External"/>
  <Relationship Id="rIdjivtsv1z5d7np-1_wdeqv" Type="http://schemas.openxmlformats.org/officeDocument/2006/relationships/hyperlink" Target="https://pubmed.ncbi.nlm.nih.gov/37916500/" TargetMode="External"/>
  <Relationship Id="rIdottxmlspx_mnm1ukmj668" Type="http://schemas.openxmlformats.org/officeDocument/2006/relationships/hyperlink" Target="https://www.eras-society.org" TargetMode="External"/>
  <Relationship Id="rIdmtnug-htknscis_gh38sa" Type="http://schemas.openxmlformats.org/officeDocument/2006/relationships/hyperlink" Target="https://pubmed.ncbi.nlm.nih.gov/39320289/" TargetMode="External"/>
  <Relationship Id="rIdkoiwuhlydpvablgdqixrk" Type="http://schemas.openxmlformats.org/officeDocument/2006/relationships/hyperlink" Target="https://pubmed.ncbi.nlm.nih.gov/18479744/" TargetMode="External"/>
  <Relationship Id="rId0xlkangimjihwbie7nq4l" Type="http://schemas.openxmlformats.org/officeDocument/2006/relationships/hyperlink" Target="https://pubmed.ncbi.nlm.nih.gov/30025699/" TargetMode="External"/>
  <Relationship Id="rIdubdlybh69tktfy6y4ekv1" Type="http://schemas.openxmlformats.org/officeDocument/2006/relationships/hyperlink" Target="https://pubmed.ncbi.nlm.nih.gov/35363499/" TargetMode="External"/>
  <Relationship Id="rIdwbtemfn0ulv5u1ntc9hr3" Type="http://schemas.openxmlformats.org/officeDocument/2006/relationships/hyperlink" Target="https://pubmed.ncbi.nlm.nih.gov/34353922/" TargetMode="External"/>
  <Relationship Id="rId9sg2cobvutjcq3l7jxkvq" Type="http://schemas.openxmlformats.org/officeDocument/2006/relationships/hyperlink" Target="https://pubmed.ncbi.nlm.nih.gov/26095867/" TargetMode="External"/>
  <Relationship Id="rId-rqwskg6qfgg5xumfhrul" Type="http://schemas.openxmlformats.org/officeDocument/2006/relationships/hyperlink" Target="https://pubmed.ncbi.nlm.nih.gov/36017548/" TargetMode="External"/>
  <Relationship Id="rIddevf0nadfqik0g-f0rbbk" Type="http://schemas.openxmlformats.org/officeDocument/2006/relationships/hyperlink" Target="https://pubmed.ncbi.nlm.nih.gov/35044421/" TargetMode="External"/>
  <Relationship Id="rIdlyh_uaeuqzu0qumdzhm_j" Type="http://schemas.openxmlformats.org/officeDocument/2006/relationships/hyperlink" Target="https://pubmed.ncbi.nlm.nih.gov/21722856/" TargetMode="External"/>
  <Relationship Id="rId0jh7jorheiq2dbkwnbgzj" Type="http://schemas.openxmlformats.org/officeDocument/2006/relationships/hyperlink" Target="https://goldcopd.org/2025-gold-report/" TargetMode="External"/>
  <Relationship Id="rIdt68kmsshgfcws-6h7s935" Type="http://schemas.openxmlformats.org/officeDocument/2006/relationships/hyperlink" Target="https://ginasthma.org/2024-gina-main-report/" TargetMode="External"/>
  <Relationship Id="rId0agndbp2fcafd2vkzgdss" Type="http://schemas.openxmlformats.org/officeDocument/2006/relationships/hyperlink" Target="https://pubmed.ncbi.nlm.nih.gov/26895655/" TargetMode="External"/>
  <Relationship Id="rIdzhhqbxkb143brcumzl866" Type="http://schemas.openxmlformats.org/officeDocument/2006/relationships/hyperlink" Target="https://diabetesjournals.org/care/issue/48/Supplement_1" TargetMode="External"/>
  <Relationship Id="rIdyxe0qz69qofhggmtsgzuj" Type="http://schemas.openxmlformats.org/officeDocument/2006/relationships/hyperlink" Target="https://pubmed.ncbi.nlm.nih.gov/39688735/" TargetMode="External"/>
  <Relationship Id="rIdzzwphdvntoxand-bmrkov" Type="http://schemas.openxmlformats.org/officeDocument/2006/relationships/hyperlink" Target="https://pubmed.ncbi.nlm.nih.gov/24893135/" TargetMode="External"/>
  <Relationship Id="rIduclxynbvtxetdzbckof1q" Type="http://schemas.openxmlformats.org/officeDocument/2006/relationships/hyperlink" Target="https://pubmed.ncbi.nlm.nih.gov/31903587/" TargetMode="External"/>
  <Relationship Id="rIdffjqnjmsxdhjispwnbmmi" Type="http://schemas.openxmlformats.org/officeDocument/2006/relationships/hyperlink" Target="https://pubmed.ncbi.nlm.nih.gov/26760044/" TargetMode="External"/>
  <Relationship Id="rIdbg0yfg3mu2l5xgewipunw" Type="http://schemas.openxmlformats.org/officeDocument/2006/relationships/hyperlink" Target="https://pubmed.ncbi.nlm.nih.gov/37772477/" TargetMode="External"/>
  <Relationship Id="rId4z3jko_akovgtiw6p5rgd" Type="http://schemas.openxmlformats.org/officeDocument/2006/relationships/hyperlink" Target="https://pubmed.ncbi.nlm.nih.gov/9971864/" TargetMode="External"/>
  <Relationship Id="rId9e8jygnid_5xksamcn-qa" Type="http://schemas.openxmlformats.org/officeDocument/2006/relationships/hyperlink" Target="https://pubmed.ncbi.nlm.nih.gov/7791837/" TargetMode="External"/>
  <Relationship Id="rIdz3hie-fvbc_kvnwg0twa5" Type="http://schemas.openxmlformats.org/officeDocument/2006/relationships/hyperlink" Target="https://pubmed.ncbi.nlm.nih.gov/39880411/" TargetMode="External"/>
  <Relationship Id="rId3deo55t63p_vp7lxa4fea" Type="http://schemas.openxmlformats.org/officeDocument/2006/relationships/hyperlink" Target="https://pubmed.ncbi.nlm.nih.gov/21272753/" TargetMode="External"/>
  <Relationship Id="rIdzitkg4lbtols4z7fzves0" Type="http://schemas.openxmlformats.org/officeDocument/2006/relationships/hyperlink" Target="https://pubmed.ncbi.nlm.nih.gov/27167465/" TargetMode="External"/>
  <Relationship Id="rIdgaog1wo5hslrf65fupirk" Type="http://schemas.openxmlformats.org/officeDocument/2006/relationships/hyperlink" Target="https://pubmed.ncbi.nlm.nih.gov/24699255/" TargetMode="External"/>
  <Relationship Id="rIdiqdmlitsyolyx2vyux4-a" Type="http://schemas.openxmlformats.org/officeDocument/2006/relationships/hyperlink" Target="https://pubmed.ncbi.nlm.nih.gov/34385292/" TargetMode="External"/>
  <Relationship Id="rIdpeob8isnrvhooxde2i-oh" Type="http://schemas.openxmlformats.org/officeDocument/2006/relationships/hyperlink" Target="https://pubmed.ncbi.nlm.nih.gov/34003804/" TargetMode="External"/>
  <Relationship Id="rIdt21xevyrlbwe773vhiebp" Type="http://schemas.openxmlformats.org/officeDocument/2006/relationships/hyperlink" Target="https://kdigo.org/guidelines/ckd-evaluation-and-management/" TargetMode="External"/>
  <Relationship Id="rIdzusky7ydzqdu8b0benr1g" Type="http://schemas.openxmlformats.org/officeDocument/2006/relationships/hyperlink" Target="https://pubmed.ncbi.nlm.nih.gov/35718887/" TargetMode="External"/>
  <Relationship Id="rIdqlcxpczjpehipoi_dxscc" Type="http://schemas.openxmlformats.org/officeDocument/2006/relationships/hyperlink" Target="https://pubmed.ncbi.nlm.nih.gov/33551985/" TargetMode="External"/>
  <Relationship Id="rId6yucaeuxqcdopphvs2wkp" Type="http://schemas.openxmlformats.org/officeDocument/2006/relationships/hyperlink" Target="https://pubmed.ncbi.nlm.nih.gov/36017585/" TargetMode="External"/>
  <Relationship Id="rIdqgqfwovckrfrn2koxn9gh" Type="http://schemas.openxmlformats.org/officeDocument/2006/relationships/hyperlink" Target="https://pubmed.ncbi.nlm.nih.gov/36943943/" TargetMode="External"/>
  <Relationship Id="rIdal387f_ipsv7fyr7d_yed" Type="http://schemas.openxmlformats.org/officeDocument/2006/relationships/hyperlink" Target="https://pubmed.ncbi.nlm.nih.gov/37916500/" TargetMode="External"/>
  <Relationship Id="rId1tia1nlz_zijzrfmwwohg" Type="http://schemas.openxmlformats.org/officeDocument/2006/relationships/hyperlink" Target="https://pubmed.ncbi.nlm.nih.gov/37285114/" TargetMode="External"/>
  <Relationship Id="rIdyv5rosinyzj-rcg5qrjjm" Type="http://schemas.openxmlformats.org/officeDocument/2006/relationships/hyperlink" Target="https://pubmed.ncbi.nlm.nih.gov/15548778/" TargetMode="External"/>
  <Relationship Id="rIdcclvylvb1lythrhibsbmd" Type="http://schemas.openxmlformats.org/officeDocument/2006/relationships/hyperlink" Target="https://pubmed.ncbi.nlm.nih.gov/38265461/" TargetMode="External"/>
  <Relationship Id="rIdboblwqwpdl65ud7pznks1" Type="http://schemas.openxmlformats.org/officeDocument/2006/relationships/hyperlink" Target="https://pubmed.ncbi.nlm.nih.gov/35443108/" TargetMode="External"/>
  <Relationship Id="rIddwappgt-zpm39waqflzkj" Type="http://schemas.openxmlformats.org/officeDocument/2006/relationships/hyperlink" Target="https://pubmed.ncbi.nlm.nih.gov/21178766/" TargetMode="External"/>
  <Relationship Id="rIdqndjakehqqkhr35o_qbs8" Type="http://schemas.openxmlformats.org/officeDocument/2006/relationships/hyperlink" Target="https://pubmed.ncbi.nlm.nih.gov/22315267/" TargetMode="External"/>
  <Relationship Id="rIdhn7unrh1rj1qo-bxe38cd" Type="http://schemas.openxmlformats.org/officeDocument/2006/relationships/hyperlink" Target="https://pubmed.ncbi.nlm.nih.gov/10477528/" TargetMode="External"/>
  <Relationship Id="rId5evk-ytxiekytrilbcvh3" Type="http://schemas.openxmlformats.org/officeDocument/2006/relationships/hyperlink" Target="https://pubmed.ncbi.nlm.nih.gov/2782256/" TargetMode="External"/>
  <Relationship Id="rIdx8yn2yoavkmcy2hrsgtbf" Type="http://schemas.openxmlformats.org/officeDocument/2006/relationships/hyperlink" Target="https://www.eras-society.org/" TargetMode="External"/>
  <Relationship Id="rIdfjcvxxsu0vgj3tspwnacl" Type="http://schemas.openxmlformats.org/officeDocument/2006/relationships/hyperlink" Target="https://pubmed.ncbi.nlm.nih.gov/36573521/" TargetMode="External"/>
  <Relationship Id="rId106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2026-04-23T19:17:15.111Z</dcterms:created>
  <dcterms:modified xsi:type="dcterms:W3CDTF">2026-04-23T19:17:15.113Z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