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STAKEHOLDER ANALYSIS DAN POWER–INTEREST GRID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Sistem Informasi Klinik Sehat Bersama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Alief Savero Basajan (NIM 2507021)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 Daftar Stakeholder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Berdasarkan studi kasus, terdapat 10 stakeholder yang terlibat dalam proyek: Kepala Klinik, Pemilik Klinik, Dokter, Perawat, Petugas Pendaftaran, Apoteker, Petugas Kasir/Keuangan, Divisi IT, Vendor Pengembang, dan Pasien.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 Penilaian Power dan Interest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Power menunjukkan besarnya pengaruh stakeholder terhadap keputusan proyek, sedangkan Interest menunjukkan besarnya kepedulian terhadap hasil proyek (skala 1–5). Nilai di atas 3 dianggap tinggi.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900"/>
        <w:gridCol w:w="45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F9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F9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F9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F9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F9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 Nilai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Kepala Klinik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Pemimpin proyek dan pengambil keputusan utama; sangat butuh sistem terintegrasi untuk informasi keputusan.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Pemilik Klinik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Pemilik dana dan penentu arah bisnis; ingin layanan meningkat dan bisnis berkembang.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Dokter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Pengguna inti rekam medis; penerimaan Dokter menentukan keberhasilan adopsi sistem.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Divisi IT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Bertanggung jawab implementasi, keamanan, integrasi, dan pemeliharaan; sangat bergantung pada hasil proyek.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 Pengembang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Memegang kendali teknis, tetapi punya banyak proyek lain sehingga perhatian terbagi.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Kasir/Keuangan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Butuh pencatatan pembayaran dan laporan transaksi akurat; tidak menentukan keputusan proyek.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Apoteker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Butuh informasi resep dan stok obat yang akurat; berpengaruh sedang pada alur layanan obat.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Perawat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Pengguna harian untuk mencatat tindakan dan kondisi pasien, tetapi tidak menentukan keputusan.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Petugas Pendaftaran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Paling terdampak langsung (antrean dan kecepatan daftar), tetapi pengaruh keputusan kecil.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Pasien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Penerima layanan, berharap proses lebih cepat dan akurat, tidak terlibat langsung dalam proyek.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 Power–Interest Grid</w:t>
      </w:r>
    </w:p>
    <w:p>
      <w:pPr>
        <w:spacing w:after="120" w:before="120"/>
        <w:jc w:val="center"/>
      </w:pPr>
      <w:r>
        <w:drawing>
          <wp:inline distT="0" distB="0" distL="0" distR="0">
            <wp:extent cx="4381500" cy="3752850"/>
            <wp:effectExtent t="0" r="0" b="0" l="0"/>
            <wp:docPr id="1" name="grid" descr="Grid stakeholder" title="Power-Interest G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Gambar 1. Power–Interest Grid Sistem Informasi Klinik.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 Strategi Pengelolaan Stakeholder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F9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F9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F900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 Pengelolaan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Kepala Klinik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Libatkan di setiap keputusan strategis, rapat rutin, persetujuan tiap milestone.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Pemilik Klinik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Laporan progres berkala, libatkan pada keputusan anggaran dan prioritas fitur.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Dokter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Libatkan sejak desain, uji coba bersama, kumpulkan masukan alur pemeriksaan.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Divisi IT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Koordinasi intensif dan monitoring rutin.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 Pengembang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Buat SLA, awasi timeline, jaga kepuasan kontrak.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Kasir/Keuangan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fitur pembayaran, pelatihan, dan komunikasi rutin.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Apoteker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Pelatihan, dukungan teknis, tampung masukan fitur stok dan resep.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Perawat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Pelatihan, panduan penggunaan, dan feedback loop.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Petugas Pendaftaran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Uji coba alur pendaftaran, pelatihan, dan notifikasi rutin.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Pasien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Survei kepuasan dan pengumuman layanan; cukup dimonitor.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 Pengelompokan Stakeholder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Dikelola secara dekat (High Power–High Interest): </w:t>
      </w:r>
      <w:r>
        <w:rPr>
          <w:rFonts w:ascii="Arial" w:cs="Arial" w:eastAsia="Arial" w:hAnsi="Arial"/>
          <w:sz w:val="22"/>
          <w:szCs w:val="22"/>
        </w:rPr>
        <w:t xml:space="preserve">Kepala Klinik, Pemilik Klinik, Dokter, dan Divisi IT. Mereka menentukan arah dan keberhasilan proyek, sehingga perlu dilibatkan di setiap keputusan penting.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Dijaga kepuasannya (High Power–Low Interest): </w:t>
      </w:r>
      <w:r>
        <w:rPr>
          <w:rFonts w:ascii="Arial" w:cs="Arial" w:eastAsia="Arial" w:hAnsi="Arial"/>
          <w:sz w:val="22"/>
          <w:szCs w:val="22"/>
        </w:rPr>
        <w:t xml:space="preserve">Vendor Pengembang. Pengaruh teknisnya besar, tetapi perhatiannya terbagi ke proyek lain, sehingga perlu SLA dan pemantauan timeline.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Dilibatkan melalui komunikasi rutin (Low Power–High Interest): </w:t>
      </w:r>
      <w:r>
        <w:rPr>
          <w:rFonts w:ascii="Arial" w:cs="Arial" w:eastAsia="Arial" w:hAnsi="Arial"/>
          <w:sz w:val="22"/>
          <w:szCs w:val="22"/>
        </w:rPr>
        <w:t xml:space="preserve">Kasir/Keuangan, Apoteker, Perawat, dan Petugas Pendaftaran. Mereka pengguna langsung sistem, sehingga perlu pelatihan, uji coba, dan penampungan masukan.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Cukup dimonitor (Low Power–Low Interest): </w:t>
      </w:r>
      <w:r>
        <w:rPr>
          <w:rFonts w:ascii="Arial" w:cs="Arial" w:eastAsia="Arial" w:hAnsi="Arial"/>
          <w:sz w:val="22"/>
          <w:szCs w:val="22"/>
        </w:rPr>
        <w:t xml:space="preserve">Pasien. Cukup dipantau melalui survei kepuasan dan pengumuman layanan.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f51e7f35783b551886ce7b9c04ed8b92f55e9d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2026-10-02T07:18:16.653Z</dcterms:created>
  <dcterms:modified xsi:type="dcterms:W3CDTF">2026-10-02T07:18:16.653Z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