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3BBF5C9" w14:textId="77777777" w:rsidR="007F573D" w:rsidRDefault="007F573D" w:rsidP="00DF78F4">
      <w:pPr>
        <w:pStyle w:val="TezMetni"/>
        <w:jc w:val="left"/>
      </w:pPr>
      <w:r>
        <w:t>SSL</w:t>
      </w:r>
      <w:r>
        <w:tab/>
      </w:r>
      <w:r>
        <w:tab/>
      </w:r>
      <w:r>
        <w:tab/>
        <w:t>Secure Sockets Layer</w:t>
      </w:r>
    </w:p>
    <w:p w14:paraId="52ABC1BF" w14:textId="77A4147F" w:rsidR="00B94C22" w:rsidRPr="00DF78F4" w:rsidRDefault="00B94C22" w:rsidP="00DF78F4">
      <w:pPr>
        <w:pStyle w:val="TezMetni"/>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2054E1C2">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52E52C3E" w:rsidR="005C49C4" w:rsidRDefault="006A4DFE" w:rsidP="005C49C4">
      <w:pPr>
        <w:pStyle w:val="Balk1"/>
      </w:pPr>
      <w:r>
        <w:t>S</w:t>
      </w:r>
      <w:r w:rsidR="007C2115">
        <w:t>GK İÇİN</w:t>
      </w:r>
      <w:r>
        <w:t xml:space="preserve"> STRATEJİK </w:t>
      </w:r>
      <w:r w:rsidR="007C2115">
        <w:t>ÇIKARIMLAR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11A1F9A3"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kritik rolü vurgulanacaktır.</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3C36AC08" w:rsidR="005C49C4" w:rsidRPr="00C454A6" w:rsidRDefault="00836084" w:rsidP="00907122">
      <w:pPr>
        <w:pStyle w:val="Balk3"/>
        <w:numPr>
          <w:ilvl w:val="1"/>
          <w:numId w:val="3"/>
        </w:numPr>
        <w:ind w:hanging="11"/>
      </w:pPr>
      <w:bookmarkStart w:id="187" w:name="_Toc166677264"/>
      <w:bookmarkStart w:id="188" w:name="_Toc167695689"/>
      <w:bookmarkStart w:id="189" w:name="_Toc167711440"/>
      <w:bookmarkStart w:id="190" w:name="_Toc168402797"/>
      <w:r>
        <w:t>Not</w:t>
      </w:r>
      <w:bookmarkEnd w:id="187"/>
      <w:bookmarkEnd w:id="188"/>
      <w:bookmarkEnd w:id="189"/>
      <w:bookmarkEnd w:id="190"/>
    </w:p>
    <w:p w14:paraId="156E2169" w14:textId="1F82DF29" w:rsidR="005C49C4" w:rsidRDefault="00836084" w:rsidP="005C49C4">
      <w:pPr>
        <w:pStyle w:val="TezMetni"/>
      </w:pPr>
      <w:r>
        <w:t xml:space="preserve">Dağıtık sistemlerde veri bütünlüğünü sağlamak önemli. Bu yüzden 2PC ve sga yöntemi bunu sağlamaya yöneliktir. </w:t>
      </w:r>
      <w:r w:rsidR="005C49C4"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191" w:name="_Toc165367922"/>
      <w:bookmarkStart w:id="192" w:name="_Toc166677265"/>
      <w:bookmarkStart w:id="193" w:name="_Toc167695690"/>
      <w:bookmarkStart w:id="194" w:name="_Toc167711441"/>
      <w:bookmarkStart w:id="195" w:name="_Toc168402798"/>
      <w:r>
        <w:t>Bbbbbbbbb bbbbbb</w:t>
      </w:r>
      <w:bookmarkEnd w:id="191"/>
      <w:bookmarkEnd w:id="192"/>
      <w:bookmarkEnd w:id="193"/>
      <w:bookmarkEnd w:id="194"/>
      <w:bookmarkEnd w:id="195"/>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196" w:name="_Toc165367923"/>
      <w:bookmarkStart w:id="197" w:name="_Toc166677266"/>
      <w:bookmarkStart w:id="198" w:name="_Toc167695691"/>
      <w:bookmarkStart w:id="199" w:name="_Toc167711442"/>
      <w:bookmarkStart w:id="200" w:name="_Toc168402799"/>
      <w:r>
        <w:lastRenderedPageBreak/>
        <w:t>1.2.1.</w:t>
      </w:r>
      <w:r>
        <w:tab/>
        <w:t>Ccccccc cccccc cccccccc ccccccccccccccccccc</w:t>
      </w:r>
      <w:bookmarkEnd w:id="196"/>
      <w:bookmarkEnd w:id="197"/>
      <w:bookmarkEnd w:id="198"/>
      <w:bookmarkEnd w:id="199"/>
      <w:bookmarkEnd w:id="200"/>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201" w:name="_Toc165367924"/>
      <w:bookmarkStart w:id="202" w:name="_Toc166677267"/>
      <w:bookmarkStart w:id="203" w:name="_Toc167695692"/>
      <w:bookmarkStart w:id="204" w:name="_Toc167711443"/>
      <w:bookmarkStart w:id="205" w:name="_Toc168402800"/>
      <w:r>
        <w:t>1.2.</w:t>
      </w:r>
      <w:r w:rsidRPr="003F534D">
        <w:t>2</w:t>
      </w:r>
      <w:r>
        <w:t>.</w:t>
      </w:r>
      <w:r>
        <w:tab/>
      </w:r>
      <w:r w:rsidRPr="003F534D">
        <w:t>Ddddddddddd</w:t>
      </w:r>
      <w:bookmarkEnd w:id="201"/>
      <w:bookmarkEnd w:id="202"/>
      <w:bookmarkEnd w:id="203"/>
      <w:bookmarkEnd w:id="204"/>
      <w:bookmarkEnd w:id="205"/>
    </w:p>
    <w:p w14:paraId="01D8B14A" w14:textId="77777777" w:rsidR="005C49C4" w:rsidRPr="00AA3E1C" w:rsidRDefault="005C49C4" w:rsidP="005C49C4">
      <w:pPr>
        <w:pStyle w:val="Balk3"/>
        <w:ind w:firstLine="708"/>
      </w:pPr>
      <w:bookmarkStart w:id="206" w:name="_Toc165367925"/>
      <w:bookmarkStart w:id="207" w:name="_Toc166677268"/>
      <w:bookmarkStart w:id="208" w:name="_Toc167695693"/>
      <w:bookmarkStart w:id="209" w:name="_Toc167711444"/>
      <w:bookmarkStart w:id="210" w:name="_Toc168402801"/>
      <w:r>
        <w:t>1.2.2.1.</w:t>
      </w:r>
      <w:r>
        <w:tab/>
      </w:r>
      <w:r w:rsidRPr="003F534D">
        <w:t>Ddddddddddd</w:t>
      </w:r>
      <w:bookmarkEnd w:id="206"/>
      <w:bookmarkEnd w:id="207"/>
      <w:bookmarkEnd w:id="208"/>
      <w:bookmarkEnd w:id="209"/>
      <w:bookmarkEnd w:id="210"/>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211" w:name="_Toc163047390"/>
      <w:bookmarkStart w:id="212" w:name="_Toc165367926"/>
      <w:bookmarkStart w:id="213" w:name="_Toc166677269"/>
      <w:bookmarkStart w:id="214" w:name="_Toc167695694"/>
      <w:bookmarkStart w:id="215" w:name="_Toc167711445"/>
      <w:bookmarkStart w:id="216" w:name="_Toc168402802"/>
      <w:r>
        <w:lastRenderedPageBreak/>
        <w:t>ÜÇÜNCÜ BÖLÜM</w:t>
      </w:r>
      <w:bookmarkEnd w:id="211"/>
      <w:bookmarkEnd w:id="212"/>
      <w:bookmarkEnd w:id="213"/>
      <w:bookmarkEnd w:id="214"/>
      <w:bookmarkEnd w:id="215"/>
      <w:bookmarkEnd w:id="216"/>
    </w:p>
    <w:p w14:paraId="5DB62FB5" w14:textId="52D5375D" w:rsidR="00BF3345" w:rsidRDefault="00AF33A2" w:rsidP="00BF3345">
      <w:pPr>
        <w:pStyle w:val="Balk1"/>
      </w:pPr>
      <w:bookmarkStart w:id="217" w:name="_Toc167695695"/>
      <w:bookmarkStart w:id="218" w:name="_Toc167711446"/>
      <w:bookmarkStart w:id="219" w:name="_Toc168402803"/>
      <w:r>
        <w:t>SONUÇLAR</w:t>
      </w:r>
      <w:r w:rsidR="00AD57D0">
        <w:t xml:space="preserve"> VE DEĞERLENDİRME</w:t>
      </w:r>
      <w:bookmarkEnd w:id="217"/>
      <w:bookmarkEnd w:id="218"/>
      <w:bookmarkEnd w:id="219"/>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220" w:name="_Toc165367928"/>
      <w:bookmarkStart w:id="221" w:name="_Toc166677271"/>
      <w:bookmarkStart w:id="222" w:name="_Toc167695696"/>
      <w:bookmarkStart w:id="223" w:name="_Toc167711447"/>
      <w:bookmarkStart w:id="224" w:name="_Toc168402804"/>
      <w:r>
        <w:t>KURUM BİLGİ İŞLEM MİMARİSİ</w:t>
      </w:r>
      <w:bookmarkEnd w:id="220"/>
      <w:bookmarkEnd w:id="221"/>
      <w:bookmarkEnd w:id="222"/>
      <w:bookmarkEnd w:id="223"/>
      <w:bookmarkEnd w:id="224"/>
    </w:p>
    <w:p w14:paraId="717D3D69" w14:textId="77777777" w:rsidR="00BF3345" w:rsidRPr="00C454A6" w:rsidRDefault="00BF3345" w:rsidP="00907122">
      <w:pPr>
        <w:pStyle w:val="Balk3"/>
        <w:numPr>
          <w:ilvl w:val="1"/>
          <w:numId w:val="4"/>
        </w:numPr>
        <w:ind w:hanging="11"/>
      </w:pPr>
      <w:bookmarkStart w:id="225" w:name="_Toc165367929"/>
      <w:bookmarkStart w:id="226" w:name="_Toc166677272"/>
      <w:bookmarkStart w:id="227" w:name="_Toc167695697"/>
      <w:bookmarkStart w:id="228" w:name="_Toc167711448"/>
      <w:bookmarkStart w:id="229" w:name="_Toc168402805"/>
      <w:r w:rsidRPr="00C454A6">
        <w:t>Aaaaaa aaaaaaaaa aaaaaaaaa</w:t>
      </w:r>
      <w:bookmarkEnd w:id="225"/>
      <w:bookmarkEnd w:id="226"/>
      <w:bookmarkEnd w:id="227"/>
      <w:bookmarkEnd w:id="228"/>
      <w:bookmarkEnd w:id="229"/>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230" w:name="_Toc165367930"/>
      <w:bookmarkStart w:id="231" w:name="_Toc166677273"/>
      <w:bookmarkStart w:id="232" w:name="_Toc167695698"/>
      <w:bookmarkStart w:id="233" w:name="_Toc167711449"/>
      <w:bookmarkStart w:id="234" w:name="_Toc168402806"/>
      <w:r>
        <w:t>Bbbbbbbbb bbbbbb</w:t>
      </w:r>
      <w:bookmarkEnd w:id="230"/>
      <w:bookmarkEnd w:id="231"/>
      <w:bookmarkEnd w:id="232"/>
      <w:bookmarkEnd w:id="233"/>
      <w:bookmarkEnd w:id="234"/>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35" w:name="_Toc165367931"/>
      <w:bookmarkStart w:id="236" w:name="_Toc166677274"/>
      <w:bookmarkStart w:id="237" w:name="_Toc167695699"/>
      <w:bookmarkStart w:id="238" w:name="_Toc167711450"/>
      <w:bookmarkStart w:id="239" w:name="_Toc168402807"/>
      <w:r>
        <w:t>1.2.1.</w:t>
      </w:r>
      <w:r>
        <w:tab/>
        <w:t>Ccccccc cccccc cccccccc ccccccccccccccccccc</w:t>
      </w:r>
      <w:bookmarkEnd w:id="235"/>
      <w:bookmarkEnd w:id="236"/>
      <w:bookmarkEnd w:id="237"/>
      <w:bookmarkEnd w:id="238"/>
      <w:bookmarkEnd w:id="239"/>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40" w:name="_Toc165367932"/>
      <w:bookmarkStart w:id="241" w:name="_Toc166677275"/>
      <w:bookmarkStart w:id="242" w:name="_Toc167695700"/>
      <w:bookmarkStart w:id="243" w:name="_Toc167711451"/>
      <w:bookmarkStart w:id="244" w:name="_Toc168402808"/>
      <w:r>
        <w:t>1.2.</w:t>
      </w:r>
      <w:r w:rsidRPr="003F534D">
        <w:t>2</w:t>
      </w:r>
      <w:r>
        <w:t>.</w:t>
      </w:r>
      <w:r>
        <w:tab/>
      </w:r>
      <w:r w:rsidRPr="003F534D">
        <w:t>Ddddddddddd</w:t>
      </w:r>
      <w:bookmarkEnd w:id="240"/>
      <w:bookmarkEnd w:id="241"/>
      <w:bookmarkEnd w:id="242"/>
      <w:bookmarkEnd w:id="243"/>
      <w:bookmarkEnd w:id="244"/>
    </w:p>
    <w:p w14:paraId="6B785E55" w14:textId="77777777" w:rsidR="00BF3345" w:rsidRPr="00AA3E1C" w:rsidRDefault="00BF3345" w:rsidP="00BF3345">
      <w:pPr>
        <w:pStyle w:val="Balk3"/>
        <w:ind w:firstLine="708"/>
      </w:pPr>
      <w:bookmarkStart w:id="245" w:name="_Toc165367933"/>
      <w:bookmarkStart w:id="246" w:name="_Toc166677276"/>
      <w:bookmarkStart w:id="247" w:name="_Toc167695701"/>
      <w:bookmarkStart w:id="248" w:name="_Toc167711452"/>
      <w:bookmarkStart w:id="249" w:name="_Toc168402809"/>
      <w:r>
        <w:t>1.2.2.1.</w:t>
      </w:r>
      <w:r>
        <w:tab/>
      </w:r>
      <w:r w:rsidRPr="003F534D">
        <w:t>Ddddddddddd</w:t>
      </w:r>
      <w:bookmarkEnd w:id="245"/>
      <w:bookmarkEnd w:id="246"/>
      <w:bookmarkEnd w:id="247"/>
      <w:bookmarkEnd w:id="248"/>
      <w:bookmarkEnd w:id="249"/>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50" w:name="_Toc163047391"/>
      <w:bookmarkStart w:id="251" w:name="_Toc165367934"/>
      <w:bookmarkStart w:id="252" w:name="_Toc166677277"/>
      <w:bookmarkStart w:id="253" w:name="_Toc167695702"/>
      <w:bookmarkStart w:id="254" w:name="_Toc167711453"/>
      <w:bookmarkStart w:id="255" w:name="_Toc168402810"/>
      <w:r>
        <w:lastRenderedPageBreak/>
        <w:t>DÖRDÜNCÜ BÖLÜM</w:t>
      </w:r>
      <w:bookmarkEnd w:id="250"/>
      <w:bookmarkEnd w:id="251"/>
      <w:bookmarkEnd w:id="252"/>
      <w:bookmarkEnd w:id="253"/>
      <w:bookmarkEnd w:id="254"/>
      <w:bookmarkEnd w:id="255"/>
    </w:p>
    <w:p w14:paraId="7F2A5916" w14:textId="254F379A" w:rsidR="00682F01" w:rsidRDefault="00C1525A" w:rsidP="00235DE7">
      <w:pPr>
        <w:pStyle w:val="Balk1"/>
      </w:pPr>
      <w:bookmarkStart w:id="256" w:name="_Toc165367935"/>
      <w:bookmarkStart w:id="257" w:name="_Toc166677278"/>
      <w:bookmarkStart w:id="258" w:name="_Toc167695703"/>
      <w:bookmarkStart w:id="259" w:name="_Toc167711454"/>
      <w:bookmarkStart w:id="260" w:name="_Toc168402811"/>
      <w:r>
        <w:t>UYGUL</w:t>
      </w:r>
      <w:r w:rsidR="00DE25E3">
        <w:t>A</w:t>
      </w:r>
      <w:r>
        <w:t>MA ÖRNEĞİ</w:t>
      </w:r>
      <w:bookmarkEnd w:id="256"/>
      <w:bookmarkEnd w:id="257"/>
      <w:bookmarkEnd w:id="258"/>
      <w:bookmarkEnd w:id="259"/>
      <w:bookmarkEnd w:id="260"/>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261" w:name="_Toc165367936"/>
      <w:bookmarkStart w:id="262" w:name="_Toc166677279"/>
      <w:bookmarkStart w:id="263" w:name="_Toc167695704"/>
      <w:bookmarkStart w:id="264" w:name="_Toc167711455"/>
      <w:bookmarkStart w:id="265" w:name="_Toc168402812"/>
      <w:r>
        <w:t>KURUM BİLGİ İŞLEM MİMARİSİ</w:t>
      </w:r>
      <w:bookmarkEnd w:id="261"/>
      <w:bookmarkEnd w:id="262"/>
      <w:bookmarkEnd w:id="263"/>
      <w:bookmarkEnd w:id="264"/>
      <w:bookmarkEnd w:id="265"/>
    </w:p>
    <w:p w14:paraId="5C79BC45" w14:textId="77777777" w:rsidR="003805B1" w:rsidRPr="00C454A6" w:rsidRDefault="003805B1" w:rsidP="00907122">
      <w:pPr>
        <w:pStyle w:val="Balk3"/>
        <w:numPr>
          <w:ilvl w:val="1"/>
          <w:numId w:val="5"/>
        </w:numPr>
        <w:ind w:hanging="11"/>
      </w:pPr>
      <w:bookmarkStart w:id="266" w:name="_Toc165367937"/>
      <w:bookmarkStart w:id="267" w:name="_Toc166677280"/>
      <w:bookmarkStart w:id="268" w:name="_Toc167695705"/>
      <w:bookmarkStart w:id="269" w:name="_Toc167711456"/>
      <w:bookmarkStart w:id="270" w:name="_Toc168402813"/>
      <w:r w:rsidRPr="00C454A6">
        <w:t>Aaaaaa aaaaaaaaa aaaaaaaaa</w:t>
      </w:r>
      <w:bookmarkEnd w:id="266"/>
      <w:bookmarkEnd w:id="267"/>
      <w:bookmarkEnd w:id="268"/>
      <w:bookmarkEnd w:id="269"/>
      <w:bookmarkEnd w:id="270"/>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271" w:name="_Toc165367938"/>
      <w:bookmarkStart w:id="272" w:name="_Toc166677281"/>
      <w:bookmarkStart w:id="273" w:name="_Toc167695706"/>
      <w:bookmarkStart w:id="274" w:name="_Toc167711457"/>
      <w:bookmarkStart w:id="275" w:name="_Toc168402814"/>
      <w:r>
        <w:t>Bbbbbbbbb bbbbbb</w:t>
      </w:r>
      <w:bookmarkEnd w:id="271"/>
      <w:bookmarkEnd w:id="272"/>
      <w:bookmarkEnd w:id="273"/>
      <w:bookmarkEnd w:id="274"/>
      <w:bookmarkEnd w:id="275"/>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76" w:name="_Toc165367939"/>
      <w:bookmarkStart w:id="277" w:name="_Toc166677282"/>
      <w:bookmarkStart w:id="278" w:name="_Toc167695707"/>
      <w:bookmarkStart w:id="279" w:name="_Toc167711458"/>
      <w:bookmarkStart w:id="280" w:name="_Toc168402815"/>
      <w:r>
        <w:t>1.2.1.</w:t>
      </w:r>
      <w:r>
        <w:tab/>
        <w:t>Ccccccc cccccc cccccccc ccccccccccccccccccc</w:t>
      </w:r>
      <w:bookmarkEnd w:id="276"/>
      <w:bookmarkEnd w:id="277"/>
      <w:bookmarkEnd w:id="278"/>
      <w:bookmarkEnd w:id="279"/>
      <w:bookmarkEnd w:id="280"/>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81" w:name="_Toc165367940"/>
      <w:bookmarkStart w:id="282" w:name="_Toc166677283"/>
      <w:bookmarkStart w:id="283" w:name="_Toc167695708"/>
      <w:bookmarkStart w:id="284" w:name="_Toc167711459"/>
      <w:bookmarkStart w:id="285" w:name="_Toc168402816"/>
      <w:r>
        <w:t>1.2.</w:t>
      </w:r>
      <w:r w:rsidRPr="003F534D">
        <w:t>2</w:t>
      </w:r>
      <w:r>
        <w:t>.</w:t>
      </w:r>
      <w:r>
        <w:tab/>
      </w:r>
      <w:r w:rsidRPr="003F534D">
        <w:t>Ddddddddddd</w:t>
      </w:r>
      <w:bookmarkEnd w:id="281"/>
      <w:bookmarkEnd w:id="282"/>
      <w:bookmarkEnd w:id="283"/>
      <w:bookmarkEnd w:id="284"/>
      <w:bookmarkEnd w:id="285"/>
    </w:p>
    <w:p w14:paraId="22822C8C" w14:textId="76F3CCCD" w:rsidR="00D41100" w:rsidRDefault="003805B1" w:rsidP="00D41100">
      <w:pPr>
        <w:pStyle w:val="Balk3"/>
        <w:ind w:firstLine="708"/>
      </w:pPr>
      <w:bookmarkStart w:id="286" w:name="_Toc165367941"/>
      <w:bookmarkStart w:id="287" w:name="_Toc166677284"/>
      <w:bookmarkStart w:id="288" w:name="_Toc167695709"/>
      <w:bookmarkStart w:id="289" w:name="_Toc167711460"/>
      <w:bookmarkStart w:id="290" w:name="_Toc168402817"/>
      <w:r>
        <w:t>1.2.2.1.</w:t>
      </w:r>
      <w:r>
        <w:tab/>
      </w:r>
      <w:r w:rsidRPr="003F534D">
        <w:t>Ddddddddddd</w:t>
      </w:r>
      <w:bookmarkEnd w:id="286"/>
      <w:bookmarkEnd w:id="287"/>
      <w:bookmarkEnd w:id="288"/>
      <w:bookmarkEnd w:id="289"/>
      <w:bookmarkEnd w:id="290"/>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91" w:name="_Toc165367942"/>
      <w:bookmarkStart w:id="292" w:name="_Toc166677285"/>
      <w:bookmarkStart w:id="293" w:name="_Toc167695710"/>
      <w:bookmarkStart w:id="294" w:name="_Toc167711461"/>
      <w:bookmarkStart w:id="295" w:name="_Toc168402818"/>
      <w:r>
        <w:lastRenderedPageBreak/>
        <w:t>SONUÇ ve ÖNERİLER</w:t>
      </w:r>
      <w:bookmarkEnd w:id="291"/>
      <w:bookmarkEnd w:id="292"/>
      <w:bookmarkEnd w:id="293"/>
      <w:bookmarkEnd w:id="294"/>
      <w:bookmarkEnd w:id="295"/>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96" w:name="_Toc165367943"/>
      <w:bookmarkStart w:id="297" w:name="_Toc166677286"/>
      <w:bookmarkStart w:id="298" w:name="_Toc167695711"/>
      <w:bookmarkStart w:id="299" w:name="_Toc167711462"/>
      <w:bookmarkStart w:id="300" w:name="_Toc168402819"/>
      <w:r>
        <w:lastRenderedPageBreak/>
        <w:t>KAYNAKÇA</w:t>
      </w:r>
      <w:bookmarkEnd w:id="296"/>
      <w:bookmarkEnd w:id="297"/>
      <w:bookmarkEnd w:id="298"/>
      <w:bookmarkEnd w:id="299"/>
      <w:bookmarkEnd w:id="300"/>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B1F2F" w14:textId="77777777" w:rsidR="00EC60FB" w:rsidRDefault="00EC60FB" w:rsidP="00F87419">
      <w:pPr>
        <w:spacing w:after="0" w:line="240" w:lineRule="auto"/>
      </w:pPr>
      <w:r>
        <w:separator/>
      </w:r>
    </w:p>
  </w:endnote>
  <w:endnote w:type="continuationSeparator" w:id="0">
    <w:p w14:paraId="3F82E94D" w14:textId="77777777" w:rsidR="00EC60FB" w:rsidRDefault="00EC60FB"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D59F7" w14:textId="77777777" w:rsidR="00EC60FB" w:rsidRDefault="00EC60FB" w:rsidP="00F87419">
      <w:pPr>
        <w:spacing w:after="0" w:line="240" w:lineRule="auto"/>
      </w:pPr>
      <w:r>
        <w:separator/>
      </w:r>
    </w:p>
  </w:footnote>
  <w:footnote w:type="continuationSeparator" w:id="0">
    <w:p w14:paraId="2782E403" w14:textId="77777777" w:rsidR="00EC60FB" w:rsidRDefault="00EC60FB"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6"/>
  </w:num>
  <w:num w:numId="6" w16cid:durableId="2083719728">
    <w:abstractNumId w:val="17"/>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0DD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85D94"/>
    <w:rsid w:val="00190FC6"/>
    <w:rsid w:val="00194073"/>
    <w:rsid w:val="001977A6"/>
    <w:rsid w:val="001A16B4"/>
    <w:rsid w:val="001A799A"/>
    <w:rsid w:val="001B03B1"/>
    <w:rsid w:val="001B0591"/>
    <w:rsid w:val="001B3C25"/>
    <w:rsid w:val="001B52EA"/>
    <w:rsid w:val="001B61A1"/>
    <w:rsid w:val="001C1C74"/>
    <w:rsid w:val="001C32E5"/>
    <w:rsid w:val="001D1815"/>
    <w:rsid w:val="001D3A0D"/>
    <w:rsid w:val="001E1BA2"/>
    <w:rsid w:val="001E2869"/>
    <w:rsid w:val="001E744F"/>
    <w:rsid w:val="001F432D"/>
    <w:rsid w:val="00201854"/>
    <w:rsid w:val="00212B6B"/>
    <w:rsid w:val="002135A8"/>
    <w:rsid w:val="00213EF5"/>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45E9"/>
    <w:rsid w:val="002D75CF"/>
    <w:rsid w:val="002E4090"/>
    <w:rsid w:val="002E63D0"/>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C20"/>
    <w:rsid w:val="003B5C03"/>
    <w:rsid w:val="003B74C1"/>
    <w:rsid w:val="003D223E"/>
    <w:rsid w:val="003D3EA1"/>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80A68"/>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25F52"/>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504C"/>
    <w:rsid w:val="008120D2"/>
    <w:rsid w:val="00814301"/>
    <w:rsid w:val="008146A8"/>
    <w:rsid w:val="00827740"/>
    <w:rsid w:val="00833416"/>
    <w:rsid w:val="00834678"/>
    <w:rsid w:val="0083598E"/>
    <w:rsid w:val="00836084"/>
    <w:rsid w:val="00845EC6"/>
    <w:rsid w:val="00852815"/>
    <w:rsid w:val="00864B50"/>
    <w:rsid w:val="00865C03"/>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2758C"/>
    <w:rsid w:val="0092788E"/>
    <w:rsid w:val="0093355A"/>
    <w:rsid w:val="00935100"/>
    <w:rsid w:val="009404E6"/>
    <w:rsid w:val="00940C78"/>
    <w:rsid w:val="00940F73"/>
    <w:rsid w:val="00946D78"/>
    <w:rsid w:val="00950AAE"/>
    <w:rsid w:val="00956014"/>
    <w:rsid w:val="0096238C"/>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63135"/>
    <w:rsid w:val="00A748CB"/>
    <w:rsid w:val="00A74D15"/>
    <w:rsid w:val="00A86817"/>
    <w:rsid w:val="00A86CEA"/>
    <w:rsid w:val="00A94621"/>
    <w:rsid w:val="00A96D5F"/>
    <w:rsid w:val="00AA3E1C"/>
    <w:rsid w:val="00AB7984"/>
    <w:rsid w:val="00AB7A7A"/>
    <w:rsid w:val="00AC1CFC"/>
    <w:rsid w:val="00AC31A7"/>
    <w:rsid w:val="00AC4915"/>
    <w:rsid w:val="00AC4BB2"/>
    <w:rsid w:val="00AD0E2A"/>
    <w:rsid w:val="00AD57D0"/>
    <w:rsid w:val="00AD5B85"/>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48A1"/>
    <w:rsid w:val="00B36F9D"/>
    <w:rsid w:val="00B43551"/>
    <w:rsid w:val="00B46790"/>
    <w:rsid w:val="00B47DDF"/>
    <w:rsid w:val="00B50ECA"/>
    <w:rsid w:val="00B51C2B"/>
    <w:rsid w:val="00B54460"/>
    <w:rsid w:val="00B563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A240B"/>
    <w:rsid w:val="00DA6829"/>
    <w:rsid w:val="00DB1530"/>
    <w:rsid w:val="00DB1B08"/>
    <w:rsid w:val="00DB2384"/>
    <w:rsid w:val="00DB398B"/>
    <w:rsid w:val="00DB6DEA"/>
    <w:rsid w:val="00DC299D"/>
    <w:rsid w:val="00DC778F"/>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5B61"/>
    <w:rsid w:val="00E36836"/>
    <w:rsid w:val="00E41A41"/>
    <w:rsid w:val="00E51B0D"/>
    <w:rsid w:val="00E52EB8"/>
    <w:rsid w:val="00E557FC"/>
    <w:rsid w:val="00E6243D"/>
    <w:rsid w:val="00E718D9"/>
    <w:rsid w:val="00E72195"/>
    <w:rsid w:val="00E747C9"/>
    <w:rsid w:val="00E75711"/>
    <w:rsid w:val="00E75958"/>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439D"/>
    <w:rsid w:val="00EC60FB"/>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27</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28</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s>
</file>

<file path=customXml/itemProps1.xml><?xml version="1.0" encoding="utf-8"?>
<ds:datastoreItem xmlns:ds="http://schemas.openxmlformats.org/officeDocument/2006/customXml" ds:itemID="{84C99911-9B7B-46B4-97A4-B711FF2F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16181</TotalTime>
  <Pages>41</Pages>
  <Words>8555</Words>
  <Characters>48770</Characters>
  <Application>Microsoft Office Word</Application>
  <DocSecurity>0</DocSecurity>
  <Lines>406</Lines>
  <Paragraphs>114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552</cp:revision>
  <dcterms:created xsi:type="dcterms:W3CDTF">2024-04-02T11:38:00Z</dcterms:created>
  <dcterms:modified xsi:type="dcterms:W3CDTF">2024-06-04T14:15:00Z</dcterms:modified>
</cp:coreProperties>
</file>