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39F48B66">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siteminin tümünün güncellemeden bölüm bölüm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541882F1" w14:textId="4C9F2B8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Bu uygulamaları çalıştırmak için gerekli olan donanım, işlemci gücü, ağ hızı bulunmaktadır.</w:t>
      </w:r>
      <w:r w:rsidR="00730AFD">
        <w:t xml:space="preserve"> Dolayısıyla mikroservis mimarisi ile oluşturulmuş bir uygulama da mevcut durumda çalışacaktır. </w:t>
      </w:r>
      <w:r w:rsidR="00AC7F79">
        <w:t xml:space="preserve">Mikroservis mimarisi için </w:t>
      </w:r>
      <w:r w:rsidR="00BB4330">
        <w:t xml:space="preserve">gerekli </w:t>
      </w:r>
      <w:r w:rsidR="00AC7F79">
        <w:t xml:space="preserve">altyapı </w:t>
      </w:r>
      <w:r w:rsidR="00BB4330">
        <w:t>mevcuttur</w:t>
      </w:r>
      <w:r w:rsidR="00AC7F79">
        <w:t>.</w:t>
      </w:r>
    </w:p>
    <w:p w14:paraId="669F915D" w14:textId="77777777" w:rsidR="00AC7F79" w:rsidRDefault="00AC7F79" w:rsidP="00EB03AE">
      <w:pPr>
        <w:pStyle w:val="TezMetni"/>
      </w:pPr>
    </w:p>
    <w:p w14:paraId="00A68BCC" w14:textId="192018C8" w:rsidR="00AC7F79" w:rsidRPr="00EB03AE" w:rsidRDefault="00AC7F79" w:rsidP="00EB03AE">
      <w:pPr>
        <w:pStyle w:val="TezMetni"/>
      </w:pPr>
    </w:p>
    <w:p w14:paraId="0E3FA13F" w14:textId="2C351522" w:rsidR="00344855" w:rsidRDefault="00344855" w:rsidP="005C49C4">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7" w:name="_Toc163047390"/>
      <w:bookmarkStart w:id="188" w:name="_Toc165367926"/>
      <w:bookmarkStart w:id="189" w:name="_Toc166677269"/>
      <w:bookmarkStart w:id="190" w:name="_Toc167695694"/>
      <w:bookmarkStart w:id="191" w:name="_Toc167711445"/>
      <w:bookmarkStart w:id="192" w:name="_Toc168402802"/>
      <w:r>
        <w:lastRenderedPageBreak/>
        <w:t>ÜÇÜNCÜ BÖLÜM</w:t>
      </w:r>
      <w:bookmarkEnd w:id="187"/>
      <w:bookmarkEnd w:id="188"/>
      <w:bookmarkEnd w:id="189"/>
      <w:bookmarkEnd w:id="190"/>
      <w:bookmarkEnd w:id="191"/>
      <w:bookmarkEnd w:id="192"/>
    </w:p>
    <w:p w14:paraId="5DB62FB5" w14:textId="52D5375D" w:rsidR="00BF3345" w:rsidRDefault="00AF33A2" w:rsidP="00BF3345">
      <w:pPr>
        <w:pStyle w:val="Balk1"/>
      </w:pPr>
      <w:bookmarkStart w:id="193" w:name="_Toc167695695"/>
      <w:bookmarkStart w:id="194" w:name="_Toc167711446"/>
      <w:bookmarkStart w:id="195" w:name="_Toc168402803"/>
      <w:r>
        <w:t>SONUÇLAR</w:t>
      </w:r>
      <w:r w:rsidR="00AD57D0">
        <w:t xml:space="preserve"> VE DEĞERLENDİRME</w:t>
      </w:r>
      <w:bookmarkEnd w:id="193"/>
      <w:bookmarkEnd w:id="194"/>
      <w:bookmarkEnd w:id="19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96" w:name="_Toc165367928"/>
      <w:bookmarkStart w:id="197" w:name="_Toc166677271"/>
      <w:bookmarkStart w:id="198" w:name="_Toc167695696"/>
      <w:bookmarkStart w:id="199" w:name="_Toc167711447"/>
      <w:bookmarkStart w:id="200" w:name="_Toc168402804"/>
      <w:r>
        <w:t>KURUM BİLGİ İŞLEM MİMARİSİ</w:t>
      </w:r>
      <w:bookmarkEnd w:id="196"/>
      <w:bookmarkEnd w:id="197"/>
      <w:bookmarkEnd w:id="198"/>
      <w:bookmarkEnd w:id="199"/>
      <w:bookmarkEnd w:id="200"/>
    </w:p>
    <w:p w14:paraId="717D3D69" w14:textId="77777777" w:rsidR="00BF3345" w:rsidRPr="00C454A6" w:rsidRDefault="00BF3345" w:rsidP="00907122">
      <w:pPr>
        <w:pStyle w:val="Balk3"/>
        <w:numPr>
          <w:ilvl w:val="1"/>
          <w:numId w:val="4"/>
        </w:numPr>
        <w:ind w:hanging="11"/>
      </w:pPr>
      <w:bookmarkStart w:id="201" w:name="_Toc165367929"/>
      <w:bookmarkStart w:id="202" w:name="_Toc166677272"/>
      <w:bookmarkStart w:id="203" w:name="_Toc167695697"/>
      <w:bookmarkStart w:id="204" w:name="_Toc167711448"/>
      <w:bookmarkStart w:id="205" w:name="_Toc168402805"/>
      <w:r w:rsidRPr="00C454A6">
        <w:t>Aaaaaa aaaaaaaaa aaaaaaaaa</w:t>
      </w:r>
      <w:bookmarkEnd w:id="201"/>
      <w:bookmarkEnd w:id="202"/>
      <w:bookmarkEnd w:id="203"/>
      <w:bookmarkEnd w:id="204"/>
      <w:bookmarkEnd w:id="205"/>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06" w:name="_Toc165367930"/>
      <w:bookmarkStart w:id="207" w:name="_Toc166677273"/>
      <w:bookmarkStart w:id="208" w:name="_Toc167695698"/>
      <w:bookmarkStart w:id="209" w:name="_Toc167711449"/>
      <w:bookmarkStart w:id="210" w:name="_Toc168402806"/>
      <w:r>
        <w:t>Bbbbbbbbb bbbbbb</w:t>
      </w:r>
      <w:bookmarkEnd w:id="206"/>
      <w:bookmarkEnd w:id="207"/>
      <w:bookmarkEnd w:id="208"/>
      <w:bookmarkEnd w:id="209"/>
      <w:bookmarkEnd w:id="210"/>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11" w:name="_Toc165367931"/>
      <w:bookmarkStart w:id="212" w:name="_Toc166677274"/>
      <w:bookmarkStart w:id="213" w:name="_Toc167695699"/>
      <w:bookmarkStart w:id="214" w:name="_Toc167711450"/>
      <w:bookmarkStart w:id="215" w:name="_Toc168402807"/>
      <w:r>
        <w:t>1.2.1.</w:t>
      </w:r>
      <w:r>
        <w:tab/>
        <w:t>Ccccccc cccccc cccccccc ccccccccccccccccccc</w:t>
      </w:r>
      <w:bookmarkEnd w:id="211"/>
      <w:bookmarkEnd w:id="212"/>
      <w:bookmarkEnd w:id="213"/>
      <w:bookmarkEnd w:id="214"/>
      <w:bookmarkEnd w:id="215"/>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6" w:name="_Toc165367932"/>
      <w:bookmarkStart w:id="217" w:name="_Toc166677275"/>
      <w:bookmarkStart w:id="218" w:name="_Toc167695700"/>
      <w:bookmarkStart w:id="219" w:name="_Toc167711451"/>
      <w:bookmarkStart w:id="220" w:name="_Toc168402808"/>
      <w:r>
        <w:t>1.2.</w:t>
      </w:r>
      <w:r w:rsidRPr="003F534D">
        <w:t>2</w:t>
      </w:r>
      <w:r>
        <w:t>.</w:t>
      </w:r>
      <w:r>
        <w:tab/>
      </w:r>
      <w:r w:rsidRPr="003F534D">
        <w:t>Ddddddddddd</w:t>
      </w:r>
      <w:bookmarkEnd w:id="216"/>
      <w:bookmarkEnd w:id="217"/>
      <w:bookmarkEnd w:id="218"/>
      <w:bookmarkEnd w:id="219"/>
      <w:bookmarkEnd w:id="220"/>
    </w:p>
    <w:p w14:paraId="6B785E55" w14:textId="77777777" w:rsidR="00BF3345" w:rsidRPr="00AA3E1C" w:rsidRDefault="00BF3345" w:rsidP="00BF3345">
      <w:pPr>
        <w:pStyle w:val="Balk3"/>
        <w:ind w:firstLine="708"/>
      </w:pPr>
      <w:bookmarkStart w:id="221" w:name="_Toc165367933"/>
      <w:bookmarkStart w:id="222" w:name="_Toc166677276"/>
      <w:bookmarkStart w:id="223" w:name="_Toc167695701"/>
      <w:bookmarkStart w:id="224" w:name="_Toc167711452"/>
      <w:bookmarkStart w:id="225" w:name="_Toc168402809"/>
      <w:r>
        <w:t>1.2.2.1.</w:t>
      </w:r>
      <w:r>
        <w:tab/>
      </w:r>
      <w:r w:rsidRPr="003F534D">
        <w:t>Ddddddddddd</w:t>
      </w:r>
      <w:bookmarkEnd w:id="221"/>
      <w:bookmarkEnd w:id="222"/>
      <w:bookmarkEnd w:id="223"/>
      <w:bookmarkEnd w:id="224"/>
      <w:bookmarkEnd w:id="22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6" w:name="_Toc163047391"/>
      <w:bookmarkStart w:id="227" w:name="_Toc165367934"/>
      <w:bookmarkStart w:id="228" w:name="_Toc166677277"/>
      <w:bookmarkStart w:id="229" w:name="_Toc167695702"/>
      <w:bookmarkStart w:id="230" w:name="_Toc167711453"/>
      <w:bookmarkStart w:id="231" w:name="_Toc168402810"/>
      <w:r>
        <w:lastRenderedPageBreak/>
        <w:t>DÖRDÜNCÜ BÖLÜM</w:t>
      </w:r>
      <w:bookmarkEnd w:id="226"/>
      <w:bookmarkEnd w:id="227"/>
      <w:bookmarkEnd w:id="228"/>
      <w:bookmarkEnd w:id="229"/>
      <w:bookmarkEnd w:id="230"/>
      <w:bookmarkEnd w:id="231"/>
    </w:p>
    <w:p w14:paraId="7F2A5916" w14:textId="254F379A" w:rsidR="00682F01" w:rsidRDefault="00C1525A" w:rsidP="00235DE7">
      <w:pPr>
        <w:pStyle w:val="Balk1"/>
      </w:pPr>
      <w:bookmarkStart w:id="232" w:name="_Toc165367935"/>
      <w:bookmarkStart w:id="233" w:name="_Toc166677278"/>
      <w:bookmarkStart w:id="234" w:name="_Toc167695703"/>
      <w:bookmarkStart w:id="235" w:name="_Toc167711454"/>
      <w:bookmarkStart w:id="236" w:name="_Toc168402811"/>
      <w:r>
        <w:t>UYGUL</w:t>
      </w:r>
      <w:r w:rsidR="00DE25E3">
        <w:t>A</w:t>
      </w:r>
      <w:r>
        <w:t>MA ÖRNEĞİ</w:t>
      </w:r>
      <w:bookmarkEnd w:id="232"/>
      <w:bookmarkEnd w:id="233"/>
      <w:bookmarkEnd w:id="234"/>
      <w:bookmarkEnd w:id="235"/>
      <w:bookmarkEnd w:id="23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sga yöntemi bunu sağlamaya yöneliktir. </w:t>
      </w:r>
      <w:r>
        <w:t>xxxxxxxx</w:t>
      </w:r>
      <w:r w:rsidR="00E248EE">
        <w:t xml:space="preserve"> </w:t>
      </w:r>
      <w:r>
        <w:t>xxxxxxxxxxxxx</w:t>
      </w:r>
      <w:r w:rsidR="00E248EE">
        <w:t xml:space="preserve"> </w:t>
      </w:r>
      <w:r>
        <w:t>xxxxxxx</w:t>
      </w:r>
      <w:r w:rsidR="00E248EE">
        <w:t xml:space="preserve"> </w:t>
      </w:r>
      <w:r>
        <w:t>xxxxxxxxxxx</w:t>
      </w:r>
      <w:r w:rsidR="00E248EE">
        <w:t xml:space="preserve"> </w:t>
      </w:r>
      <w:r>
        <w:t>xxxxxxxxxxxxxxxx</w:t>
      </w:r>
      <w:r w:rsidR="00E248EE">
        <w:t xml:space="preserve"> </w:t>
      </w:r>
      <w:r>
        <w:t>xxxxxxxxxxxxxxxxxxx</w:t>
      </w:r>
      <w:r w:rsidR="00E248EE">
        <w:t xml:space="preserve"> </w:t>
      </w:r>
      <w:r>
        <w:t>xxxxxxxxxxxxxxxxxxxxx</w:t>
      </w:r>
      <w:r w:rsidR="00E248EE">
        <w:t xml:space="preserve"> </w:t>
      </w:r>
      <w:r>
        <w:t>xxxxxxxxxxxxxxxxxxxxxxxxxxxxx</w:t>
      </w:r>
    </w:p>
    <w:p w14:paraId="48CF86F8" w14:textId="77777777" w:rsidR="003805B1" w:rsidRDefault="003805B1" w:rsidP="00907122">
      <w:pPr>
        <w:pStyle w:val="Balk2"/>
        <w:numPr>
          <w:ilvl w:val="0"/>
          <w:numId w:val="5"/>
        </w:numPr>
      </w:pPr>
      <w:bookmarkStart w:id="237" w:name="_Toc165367936"/>
      <w:bookmarkStart w:id="238" w:name="_Toc166677279"/>
      <w:bookmarkStart w:id="239" w:name="_Toc167695704"/>
      <w:bookmarkStart w:id="240" w:name="_Toc167711455"/>
      <w:bookmarkStart w:id="241" w:name="_Toc168402812"/>
      <w:r>
        <w:t>KURUM BİLGİ İŞLEM MİMARİSİ</w:t>
      </w:r>
      <w:bookmarkEnd w:id="237"/>
      <w:bookmarkEnd w:id="238"/>
      <w:bookmarkEnd w:id="239"/>
      <w:bookmarkEnd w:id="240"/>
      <w:bookmarkEnd w:id="241"/>
    </w:p>
    <w:p w14:paraId="5C79BC45" w14:textId="77777777" w:rsidR="003805B1" w:rsidRPr="00C454A6" w:rsidRDefault="003805B1" w:rsidP="00907122">
      <w:pPr>
        <w:pStyle w:val="Balk3"/>
        <w:numPr>
          <w:ilvl w:val="1"/>
          <w:numId w:val="5"/>
        </w:numPr>
        <w:ind w:hanging="11"/>
      </w:pPr>
      <w:bookmarkStart w:id="242" w:name="_Toc165367937"/>
      <w:bookmarkStart w:id="243" w:name="_Toc166677280"/>
      <w:bookmarkStart w:id="244" w:name="_Toc167695705"/>
      <w:bookmarkStart w:id="245" w:name="_Toc167711456"/>
      <w:bookmarkStart w:id="246" w:name="_Toc168402813"/>
      <w:r w:rsidRPr="00C454A6">
        <w:t>Aaaaaa aaaaaaaaa aaaaaaaaa</w:t>
      </w:r>
      <w:bookmarkEnd w:id="242"/>
      <w:bookmarkEnd w:id="243"/>
      <w:bookmarkEnd w:id="244"/>
      <w:bookmarkEnd w:id="245"/>
      <w:bookmarkEnd w:id="246"/>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47" w:name="_Toc165367938"/>
      <w:bookmarkStart w:id="248" w:name="_Toc166677281"/>
      <w:bookmarkStart w:id="249" w:name="_Toc167695706"/>
      <w:bookmarkStart w:id="250" w:name="_Toc167711457"/>
      <w:bookmarkStart w:id="251" w:name="_Toc168402814"/>
      <w:r>
        <w:t>Bbbbbbbbb bbbbbb</w:t>
      </w:r>
      <w:bookmarkEnd w:id="247"/>
      <w:bookmarkEnd w:id="248"/>
      <w:bookmarkEnd w:id="249"/>
      <w:bookmarkEnd w:id="250"/>
      <w:bookmarkEnd w:id="25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52" w:name="_Toc165367939"/>
      <w:bookmarkStart w:id="253" w:name="_Toc166677282"/>
      <w:bookmarkStart w:id="254" w:name="_Toc167695707"/>
      <w:bookmarkStart w:id="255" w:name="_Toc167711458"/>
      <w:bookmarkStart w:id="256" w:name="_Toc168402815"/>
      <w:r>
        <w:t>1.2.1.</w:t>
      </w:r>
      <w:r>
        <w:tab/>
        <w:t>Ccccccc cccccc cccccccc ccccccccccccccccccc</w:t>
      </w:r>
      <w:bookmarkEnd w:id="252"/>
      <w:bookmarkEnd w:id="253"/>
      <w:bookmarkEnd w:id="254"/>
      <w:bookmarkEnd w:id="255"/>
      <w:bookmarkEnd w:id="256"/>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7" w:name="_Toc165367940"/>
      <w:bookmarkStart w:id="258" w:name="_Toc166677283"/>
      <w:bookmarkStart w:id="259" w:name="_Toc167695708"/>
      <w:bookmarkStart w:id="260" w:name="_Toc167711459"/>
      <w:bookmarkStart w:id="261" w:name="_Toc168402816"/>
      <w:r>
        <w:t>1.2.</w:t>
      </w:r>
      <w:r w:rsidRPr="003F534D">
        <w:t>2</w:t>
      </w:r>
      <w:r>
        <w:t>.</w:t>
      </w:r>
      <w:r>
        <w:tab/>
      </w:r>
      <w:r w:rsidRPr="003F534D">
        <w:t>Ddddddddddd</w:t>
      </w:r>
      <w:bookmarkEnd w:id="257"/>
      <w:bookmarkEnd w:id="258"/>
      <w:bookmarkEnd w:id="259"/>
      <w:bookmarkEnd w:id="260"/>
      <w:bookmarkEnd w:id="261"/>
    </w:p>
    <w:p w14:paraId="22822C8C" w14:textId="76F3CCCD" w:rsidR="00D41100" w:rsidRDefault="003805B1" w:rsidP="00D41100">
      <w:pPr>
        <w:pStyle w:val="Balk3"/>
        <w:ind w:firstLine="708"/>
      </w:pPr>
      <w:bookmarkStart w:id="262" w:name="_Toc165367941"/>
      <w:bookmarkStart w:id="263" w:name="_Toc166677284"/>
      <w:bookmarkStart w:id="264" w:name="_Toc167695709"/>
      <w:bookmarkStart w:id="265" w:name="_Toc167711460"/>
      <w:bookmarkStart w:id="266" w:name="_Toc168402817"/>
      <w:r>
        <w:t>1.2.2.1.</w:t>
      </w:r>
      <w:r>
        <w:tab/>
      </w:r>
      <w:r w:rsidRPr="003F534D">
        <w:t>Ddddddddddd</w:t>
      </w:r>
      <w:bookmarkEnd w:id="262"/>
      <w:bookmarkEnd w:id="263"/>
      <w:bookmarkEnd w:id="264"/>
      <w:bookmarkEnd w:id="265"/>
      <w:bookmarkEnd w:id="266"/>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7" w:name="_Toc165367942"/>
      <w:bookmarkStart w:id="268" w:name="_Toc166677285"/>
      <w:bookmarkStart w:id="269" w:name="_Toc167695710"/>
      <w:bookmarkStart w:id="270" w:name="_Toc167711461"/>
      <w:bookmarkStart w:id="271" w:name="_Toc168402818"/>
      <w:r>
        <w:lastRenderedPageBreak/>
        <w:t>SONUÇ ve ÖNERİLER</w:t>
      </w:r>
      <w:bookmarkEnd w:id="267"/>
      <w:bookmarkEnd w:id="268"/>
      <w:bookmarkEnd w:id="269"/>
      <w:bookmarkEnd w:id="270"/>
      <w:bookmarkEnd w:id="27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72" w:name="_Toc165367943"/>
      <w:bookmarkStart w:id="273" w:name="_Toc166677286"/>
      <w:bookmarkStart w:id="274" w:name="_Toc167695711"/>
      <w:bookmarkStart w:id="275" w:name="_Toc167711462"/>
      <w:bookmarkStart w:id="276" w:name="_Toc168402819"/>
      <w:r>
        <w:lastRenderedPageBreak/>
        <w:t>KAYNAKÇA</w:t>
      </w:r>
      <w:bookmarkEnd w:id="272"/>
      <w:bookmarkEnd w:id="273"/>
      <w:bookmarkEnd w:id="274"/>
      <w:bookmarkEnd w:id="275"/>
      <w:bookmarkEnd w:id="2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6E96D" w14:textId="77777777" w:rsidR="002D3B94" w:rsidRDefault="002D3B94" w:rsidP="00F87419">
      <w:pPr>
        <w:spacing w:after="0" w:line="240" w:lineRule="auto"/>
      </w:pPr>
      <w:r>
        <w:separator/>
      </w:r>
    </w:p>
  </w:endnote>
  <w:endnote w:type="continuationSeparator" w:id="0">
    <w:p w14:paraId="3061ED29" w14:textId="77777777" w:rsidR="002D3B94" w:rsidRDefault="002D3B94"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38707" w14:textId="77777777" w:rsidR="002D3B94" w:rsidRDefault="002D3B94" w:rsidP="00F87419">
      <w:pPr>
        <w:spacing w:after="0" w:line="240" w:lineRule="auto"/>
      </w:pPr>
      <w:r>
        <w:separator/>
      </w:r>
    </w:p>
  </w:footnote>
  <w:footnote w:type="continuationSeparator" w:id="0">
    <w:p w14:paraId="4330DFA9" w14:textId="77777777" w:rsidR="002D3B94" w:rsidRDefault="002D3B94"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0DD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85D94"/>
    <w:rsid w:val="00190FC6"/>
    <w:rsid w:val="00194073"/>
    <w:rsid w:val="001977A6"/>
    <w:rsid w:val="001A16B4"/>
    <w:rsid w:val="001A799A"/>
    <w:rsid w:val="001B03B1"/>
    <w:rsid w:val="001B0591"/>
    <w:rsid w:val="001B3C25"/>
    <w:rsid w:val="001B52EA"/>
    <w:rsid w:val="001B61A1"/>
    <w:rsid w:val="001B7EB1"/>
    <w:rsid w:val="001C1C74"/>
    <w:rsid w:val="001C32E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5C03"/>
    <w:rsid w:val="003B74C1"/>
    <w:rsid w:val="003C0BD2"/>
    <w:rsid w:val="003D223E"/>
    <w:rsid w:val="003D3EA1"/>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76940"/>
    <w:rsid w:val="00580A68"/>
    <w:rsid w:val="005816A9"/>
    <w:rsid w:val="005817F5"/>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D8D"/>
    <w:rsid w:val="00611FB0"/>
    <w:rsid w:val="0061551B"/>
    <w:rsid w:val="0061774F"/>
    <w:rsid w:val="0062452F"/>
    <w:rsid w:val="0062592C"/>
    <w:rsid w:val="00625F52"/>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6C1C"/>
    <w:rsid w:val="00697F9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504C"/>
    <w:rsid w:val="008120D2"/>
    <w:rsid w:val="00814301"/>
    <w:rsid w:val="008146A8"/>
    <w:rsid w:val="00827740"/>
    <w:rsid w:val="00833416"/>
    <w:rsid w:val="00834678"/>
    <w:rsid w:val="0083598E"/>
    <w:rsid w:val="00836084"/>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F2AF9"/>
    <w:rsid w:val="009F53FA"/>
    <w:rsid w:val="009F7D99"/>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94174"/>
    <w:rsid w:val="00DA240B"/>
    <w:rsid w:val="00DA6829"/>
    <w:rsid w:val="00DB1530"/>
    <w:rsid w:val="00DB1B08"/>
    <w:rsid w:val="00DB2384"/>
    <w:rsid w:val="00DB398B"/>
    <w:rsid w:val="00DB6DEA"/>
    <w:rsid w:val="00DC299D"/>
    <w:rsid w:val="00DC778F"/>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1970"/>
    <w:rsid w:val="00E231D1"/>
    <w:rsid w:val="00E248EE"/>
    <w:rsid w:val="00E25CAD"/>
    <w:rsid w:val="00E25DBB"/>
    <w:rsid w:val="00E31CE9"/>
    <w:rsid w:val="00E35B61"/>
    <w:rsid w:val="00E36836"/>
    <w:rsid w:val="00E41A41"/>
    <w:rsid w:val="00E51B0D"/>
    <w:rsid w:val="00E52EB8"/>
    <w:rsid w:val="00E557FC"/>
    <w:rsid w:val="00E6243D"/>
    <w:rsid w:val="00E67250"/>
    <w:rsid w:val="00E718D9"/>
    <w:rsid w:val="00E72195"/>
    <w:rsid w:val="00E747C9"/>
    <w:rsid w:val="00E75711"/>
    <w:rsid w:val="00E75958"/>
    <w:rsid w:val="00E75DCE"/>
    <w:rsid w:val="00E76AC9"/>
    <w:rsid w:val="00E776C4"/>
    <w:rsid w:val="00E827DD"/>
    <w:rsid w:val="00E8280D"/>
    <w:rsid w:val="00E85000"/>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17654</TotalTime>
  <Pages>41</Pages>
  <Words>8744</Words>
  <Characters>49843</Characters>
  <Application>Microsoft Office Word</Application>
  <DocSecurity>0</DocSecurity>
  <Lines>415</Lines>
  <Paragraphs>116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583</cp:revision>
  <dcterms:created xsi:type="dcterms:W3CDTF">2024-04-02T11:38:00Z</dcterms:created>
  <dcterms:modified xsi:type="dcterms:W3CDTF">2024-06-09T19:09:00Z</dcterms:modified>
</cp:coreProperties>
</file>