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jc w:val="center"/>
        <w:tblBorders>
          <w:insideH w:val="none" w:sz="0" w:space="0" w:color="auto"/>
          <w:insideV w:val="none" w:sz="0" w:space="0" w:color="auto"/>
        </w:tblBorders>
        <w:shd w:val="pct10" w:color="auto" w:fill="auto"/>
        <w:tblCellMar>
          <w:top w:w="144" w:type="dxa"/>
          <w:left w:w="144" w:type="dxa"/>
          <w:bottom w:w="144" w:type="dxa"/>
          <w:right w:w="144" w:type="dxa"/>
        </w:tblCellMar>
        <w:tblLook w:val="04A0" w:firstRow="1" w:lastRow="0" w:firstColumn="1" w:lastColumn="0" w:noHBand="0" w:noVBand="1"/>
      </w:tblPr>
      <w:tblGrid>
        <w:gridCol w:w="9350"/>
      </w:tblGrid>
      <w:tr w:rsidR="00363D8B" w14:paraId="7486FEF7" w14:textId="77777777" w:rsidTr="00891A90">
        <w:trPr>
          <w:jc w:val="center"/>
        </w:trPr>
        <w:tc>
          <w:tcPr>
            <w:tcW w:w="5000" w:type="pct"/>
            <w:shd w:val="pct10" w:color="auto" w:fill="auto"/>
          </w:tcPr>
          <w:p w14:paraId="54782E1D" w14:textId="77777777" w:rsidR="00363D8B" w:rsidRPr="000E3B4E" w:rsidRDefault="00363D8B" w:rsidP="00891A90">
            <w:pPr>
              <w:spacing w:line="300" w:lineRule="auto"/>
              <w:ind w:left="1440"/>
              <w:rPr>
                <w:b/>
                <w:sz w:val="21"/>
                <w:szCs w:val="21"/>
              </w:rPr>
            </w:pPr>
            <w:r w:rsidRPr="000E3B4E">
              <w:rPr>
                <w:b/>
                <w:noProof/>
                <w:sz w:val="21"/>
                <w:szCs w:val="21"/>
              </w:rPr>
              <w:drawing>
                <wp:anchor distT="0" distB="0" distL="640080" distR="274320" simplePos="0" relativeHeight="251659264" behindDoc="0" locked="0" layoutInCell="1" allowOverlap="1" wp14:anchorId="79F0431C" wp14:editId="114B9345">
                  <wp:simplePos x="0" y="0"/>
                  <wp:positionH relativeFrom="margin">
                    <wp:posOffset>1009650</wp:posOffset>
                  </wp:positionH>
                  <wp:positionV relativeFrom="margin">
                    <wp:posOffset>1123</wp:posOffset>
                  </wp:positionV>
                  <wp:extent cx="2219960" cy="782320"/>
                  <wp:effectExtent l="0" t="0" r="2540" b="5080"/>
                  <wp:wrapSquare wrapText="right"/>
                  <wp:docPr id="7" name="Picture 7" descr="Undisciplining the Victorian Classroom log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ndisciplining the Victorian Classroom logo">
                            <a:hlinkClick r:id="rId7"/>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9960" cy="782320"/>
                          </a:xfrm>
                          <a:prstGeom prst="rect">
                            <a:avLst/>
                          </a:prstGeom>
                        </pic:spPr>
                      </pic:pic>
                    </a:graphicData>
                  </a:graphic>
                  <wp14:sizeRelH relativeFrom="margin">
                    <wp14:pctWidth>0</wp14:pctWidth>
                  </wp14:sizeRelH>
                  <wp14:sizeRelV relativeFrom="margin">
                    <wp14:pctHeight>0</wp14:pctHeight>
                  </wp14:sizeRelV>
                </wp:anchor>
              </w:drawing>
            </w:r>
            <w:r w:rsidRPr="000E3B4E">
              <w:rPr>
                <w:b/>
                <w:sz w:val="21"/>
                <w:szCs w:val="21"/>
              </w:rPr>
              <w:t>Peer</w:t>
            </w:r>
            <w:r>
              <w:rPr>
                <w:b/>
                <w:sz w:val="21"/>
                <w:szCs w:val="21"/>
              </w:rPr>
              <w:t>-</w:t>
            </w:r>
            <w:r w:rsidRPr="000E3B4E">
              <w:rPr>
                <w:b/>
                <w:sz w:val="21"/>
                <w:szCs w:val="21"/>
              </w:rPr>
              <w:t>Reviewed Syllabus</w:t>
            </w:r>
          </w:p>
          <w:p w14:paraId="218DE00F" w14:textId="77777777" w:rsidR="00363D8B" w:rsidRPr="000E3B4E" w:rsidRDefault="00363D8B" w:rsidP="00891A90">
            <w:pPr>
              <w:spacing w:line="300" w:lineRule="auto"/>
              <w:rPr>
                <w:sz w:val="21"/>
                <w:szCs w:val="21"/>
              </w:rPr>
            </w:pPr>
            <w:r w:rsidRPr="000E3B4E">
              <w:rPr>
                <w:b/>
                <w:sz w:val="21"/>
                <w:szCs w:val="21"/>
              </w:rPr>
              <w:t xml:space="preserve">Peer Reviewer: </w:t>
            </w:r>
            <w:r w:rsidRPr="00D75749">
              <w:rPr>
                <w:sz w:val="21"/>
                <w:szCs w:val="21"/>
              </w:rPr>
              <w:t>Ronjaunee Chatterjee</w:t>
            </w:r>
          </w:p>
          <w:p w14:paraId="5AD96AE7" w14:textId="77777777" w:rsidR="00363D8B" w:rsidRPr="000E3B4E" w:rsidRDefault="00363D8B" w:rsidP="00891A90">
            <w:pPr>
              <w:spacing w:line="300" w:lineRule="auto"/>
              <w:rPr>
                <w:bCs/>
                <w:sz w:val="21"/>
                <w:szCs w:val="21"/>
              </w:rPr>
            </w:pPr>
            <w:r w:rsidRPr="000E3B4E">
              <w:rPr>
                <w:b/>
                <w:sz w:val="21"/>
                <w:szCs w:val="21"/>
              </w:rPr>
              <w:t xml:space="preserve">Date: </w:t>
            </w:r>
            <w:r w:rsidRPr="000E3B4E">
              <w:rPr>
                <w:bCs/>
                <w:sz w:val="21"/>
                <w:szCs w:val="21"/>
              </w:rPr>
              <w:t>2021</w:t>
            </w:r>
          </w:p>
          <w:p w14:paraId="61E6F662" w14:textId="77777777" w:rsidR="00363D8B" w:rsidRDefault="00363D8B" w:rsidP="00891A90">
            <w:pPr>
              <w:spacing w:line="300" w:lineRule="auto"/>
              <w:rPr>
                <w:b/>
              </w:rPr>
            </w:pPr>
            <w:r w:rsidRPr="000E3B4E">
              <w:rPr>
                <w:b/>
                <w:sz w:val="21"/>
                <w:szCs w:val="21"/>
              </w:rPr>
              <w:t>License:</w:t>
            </w:r>
            <w:r w:rsidRPr="000E3B4E">
              <w:rPr>
                <w:bCs/>
                <w:sz w:val="21"/>
                <w:szCs w:val="21"/>
              </w:rPr>
              <w:t xml:space="preserve"> </w:t>
            </w:r>
            <w:hyperlink r:id="rId9" w:history="1">
              <w:r w:rsidRPr="000E3B4E">
                <w:rPr>
                  <w:rStyle w:val="Hyperlink"/>
                  <w:bCs/>
                  <w:sz w:val="21"/>
                  <w:szCs w:val="21"/>
                </w:rPr>
                <w:t>CC BY-NC 4.0</w:t>
              </w:r>
            </w:hyperlink>
          </w:p>
        </w:tc>
      </w:tr>
    </w:tbl>
    <w:p w14:paraId="50170332" w14:textId="46413991" w:rsidR="00363D8B" w:rsidRDefault="00363D8B" w:rsidP="003C1A07"/>
    <w:tbl>
      <w:tblPr>
        <w:tblStyle w:val="TableGrid"/>
        <w:tblW w:w="93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840"/>
        <w:gridCol w:w="2481"/>
      </w:tblGrid>
      <w:tr w:rsidR="00794472" w14:paraId="76600E12" w14:textId="77777777" w:rsidTr="00B50321">
        <w:tc>
          <w:tcPr>
            <w:tcW w:w="6840" w:type="dxa"/>
          </w:tcPr>
          <w:p w14:paraId="3C55134F" w14:textId="515BE2A2" w:rsidR="00794472" w:rsidRDefault="00794472" w:rsidP="003C1A07">
            <w:r w:rsidRPr="00E402EF">
              <w:rPr>
                <w:noProof/>
              </w:rPr>
              <w:drawing>
                <wp:inline distT="0" distB="0" distL="0" distR="0" wp14:anchorId="4D12513E" wp14:editId="080AD9C0">
                  <wp:extent cx="4206240" cy="2535555"/>
                  <wp:effectExtent l="0" t="0" r="0" b="4445"/>
                  <wp:docPr id="1" name="Picture 1" descr="Large group of women, some with raised fists, around sign reading &quot;WOMEN OF THE WORLD UNIT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rge group of women, some with raised fists, around sign reading &quot;WOMEN OF THE WORLD UNITE!&quo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06240" cy="2535555"/>
                          </a:xfrm>
                          <a:prstGeom prst="rect">
                            <a:avLst/>
                          </a:prstGeom>
                        </pic:spPr>
                      </pic:pic>
                    </a:graphicData>
                  </a:graphic>
                </wp:inline>
              </w:drawing>
            </w:r>
          </w:p>
        </w:tc>
        <w:tc>
          <w:tcPr>
            <w:tcW w:w="2481" w:type="dxa"/>
          </w:tcPr>
          <w:p w14:paraId="19D171F0" w14:textId="77777777" w:rsidR="00794472" w:rsidRDefault="00794472" w:rsidP="00B50321">
            <w:pPr>
              <w:ind w:left="-104"/>
              <w:jc w:val="center"/>
              <w:rPr>
                <w:rFonts w:ascii="Garamond" w:hAnsi="Garamond"/>
                <w:b/>
                <w:bCs/>
                <w:sz w:val="24"/>
                <w:szCs w:val="24"/>
              </w:rPr>
            </w:pPr>
          </w:p>
          <w:p w14:paraId="6A9E1E8A" w14:textId="77777777" w:rsidR="00794472" w:rsidRDefault="00794472" w:rsidP="00B50321">
            <w:pPr>
              <w:ind w:left="-104"/>
              <w:jc w:val="center"/>
              <w:rPr>
                <w:rFonts w:ascii="Garamond" w:hAnsi="Garamond"/>
                <w:b/>
                <w:bCs/>
                <w:sz w:val="24"/>
                <w:szCs w:val="24"/>
              </w:rPr>
            </w:pPr>
          </w:p>
          <w:p w14:paraId="5AB7E745" w14:textId="557DE7D1" w:rsidR="00794472" w:rsidRPr="00794472" w:rsidRDefault="00794472" w:rsidP="00B50321">
            <w:pPr>
              <w:ind w:left="-104"/>
              <w:jc w:val="center"/>
              <w:rPr>
                <w:rFonts w:ascii="Garamond" w:hAnsi="Garamond"/>
                <w:b/>
                <w:bCs/>
                <w:sz w:val="24"/>
                <w:szCs w:val="24"/>
              </w:rPr>
            </w:pPr>
            <w:r w:rsidRPr="00794472">
              <w:rPr>
                <w:rFonts w:ascii="Garamond" w:hAnsi="Garamond"/>
                <w:b/>
                <w:bCs/>
                <w:sz w:val="24"/>
                <w:szCs w:val="24"/>
              </w:rPr>
              <w:t>Women of the World Unite?</w:t>
            </w:r>
          </w:p>
          <w:p w14:paraId="5C302FD6" w14:textId="77777777" w:rsidR="00794472" w:rsidRPr="00794472" w:rsidRDefault="00794472" w:rsidP="00B50321">
            <w:pPr>
              <w:ind w:left="-104"/>
              <w:jc w:val="center"/>
              <w:rPr>
                <w:rFonts w:ascii="Garamond" w:hAnsi="Garamond"/>
                <w:sz w:val="24"/>
                <w:szCs w:val="24"/>
              </w:rPr>
            </w:pPr>
            <w:r w:rsidRPr="00794472">
              <w:rPr>
                <w:rFonts w:ascii="Garamond" w:hAnsi="Garamond"/>
                <w:b/>
                <w:bCs/>
                <w:sz w:val="24"/>
                <w:szCs w:val="24"/>
              </w:rPr>
              <w:t>Nineteenth-Century Women Writers</w:t>
            </w:r>
          </w:p>
          <w:p w14:paraId="3FA8028E" w14:textId="77777777" w:rsidR="00794472" w:rsidRPr="00794472" w:rsidRDefault="00794472" w:rsidP="00B50321">
            <w:pPr>
              <w:ind w:left="-104"/>
              <w:jc w:val="center"/>
              <w:rPr>
                <w:rFonts w:ascii="Garamond" w:hAnsi="Garamond"/>
                <w:sz w:val="24"/>
                <w:szCs w:val="24"/>
              </w:rPr>
            </w:pPr>
          </w:p>
          <w:p w14:paraId="2B76C4F3" w14:textId="77777777" w:rsidR="00794472" w:rsidRPr="00794472" w:rsidRDefault="00794472" w:rsidP="00B50321">
            <w:pPr>
              <w:ind w:left="-104"/>
              <w:jc w:val="center"/>
              <w:rPr>
                <w:rFonts w:ascii="Garamond" w:hAnsi="Garamond"/>
                <w:sz w:val="24"/>
                <w:szCs w:val="24"/>
              </w:rPr>
            </w:pPr>
          </w:p>
          <w:p w14:paraId="066E5D12" w14:textId="77777777" w:rsidR="00794472" w:rsidRPr="00794472" w:rsidRDefault="00794472" w:rsidP="00B50321">
            <w:pPr>
              <w:ind w:left="-104"/>
              <w:jc w:val="center"/>
              <w:rPr>
                <w:rFonts w:ascii="Garamond" w:hAnsi="Garamond"/>
                <w:sz w:val="24"/>
                <w:szCs w:val="24"/>
              </w:rPr>
            </w:pPr>
            <w:r w:rsidRPr="00794472">
              <w:rPr>
                <w:rFonts w:ascii="Garamond" w:hAnsi="Garamond"/>
                <w:sz w:val="24"/>
                <w:szCs w:val="24"/>
              </w:rPr>
              <w:t xml:space="preserve">Jesse Cordes Selbin Gettysburg College </w:t>
            </w:r>
          </w:p>
          <w:p w14:paraId="52F53742" w14:textId="77777777" w:rsidR="00794472" w:rsidRPr="00794472" w:rsidRDefault="00794472" w:rsidP="00B50321">
            <w:pPr>
              <w:ind w:left="-104"/>
              <w:jc w:val="center"/>
              <w:rPr>
                <w:rFonts w:ascii="Garamond" w:hAnsi="Garamond"/>
                <w:sz w:val="24"/>
                <w:szCs w:val="24"/>
              </w:rPr>
            </w:pPr>
          </w:p>
          <w:p w14:paraId="2455AFE7" w14:textId="77777777" w:rsidR="00794472" w:rsidRPr="00794472" w:rsidRDefault="00794472" w:rsidP="00B50321">
            <w:pPr>
              <w:ind w:left="-104"/>
              <w:jc w:val="center"/>
              <w:rPr>
                <w:rFonts w:ascii="Garamond" w:hAnsi="Garamond"/>
                <w:sz w:val="24"/>
                <w:szCs w:val="24"/>
              </w:rPr>
            </w:pPr>
          </w:p>
          <w:p w14:paraId="0649EAFE" w14:textId="77777777" w:rsidR="00794472" w:rsidRPr="00794472" w:rsidRDefault="007D34CA" w:rsidP="00B50321">
            <w:pPr>
              <w:ind w:left="-104"/>
              <w:jc w:val="center"/>
              <w:rPr>
                <w:rFonts w:ascii="Garamond" w:hAnsi="Garamond"/>
                <w:sz w:val="24"/>
                <w:szCs w:val="24"/>
              </w:rPr>
            </w:pPr>
            <w:hyperlink r:id="rId11" w:history="1">
              <w:r w:rsidR="00794472" w:rsidRPr="00794472">
                <w:rPr>
                  <w:rStyle w:val="Hyperlink"/>
                  <w:rFonts w:ascii="Garamond" w:hAnsi="Garamond"/>
                  <w:sz w:val="24"/>
                  <w:szCs w:val="24"/>
                </w:rPr>
                <w:t>jcordess@gettysburg.edu</w:t>
              </w:r>
            </w:hyperlink>
          </w:p>
          <w:p w14:paraId="26D28C60" w14:textId="77777777" w:rsidR="00794472" w:rsidRDefault="00794472" w:rsidP="00B50321">
            <w:pPr>
              <w:ind w:left="-104"/>
            </w:pPr>
          </w:p>
        </w:tc>
      </w:tr>
    </w:tbl>
    <w:p w14:paraId="5AD5D8BE" w14:textId="77777777" w:rsidR="00D13674" w:rsidRDefault="00D13674" w:rsidP="003C1A07"/>
    <w:p w14:paraId="70396729" w14:textId="23504E3A" w:rsidR="007B20A6" w:rsidRDefault="003C1A07" w:rsidP="003C1A07">
      <w:r w:rsidRPr="0072344F">
        <w:t xml:space="preserve">The nineteenth century is now notorious as an era of “separate spheres”: behavioral norms that broadly excluded women from public life and space. Yet Britain and its </w:t>
      </w:r>
      <w:r>
        <w:t>empire was</w:t>
      </w:r>
      <w:r w:rsidRPr="0072344F">
        <w:t xml:space="preserve"> also ruled for much of the century by the most powerful queen the world had witnessed in centuries. This class explores paradoxes of gender in the age of first-wave feminism. Analyzing literature by and about women, we will investigate stereotyp</w:t>
      </w:r>
      <w:r>
        <w:t>ical symbols</w:t>
      </w:r>
      <w:r w:rsidRPr="0072344F">
        <w:t xml:space="preserve"> like </w:t>
      </w:r>
      <w:r w:rsidR="007B20A6">
        <w:t>“</w:t>
      </w:r>
      <w:r w:rsidRPr="0072344F">
        <w:t>the angel in the house</w:t>
      </w:r>
      <w:r w:rsidR="007B20A6">
        <w:t>”</w:t>
      </w:r>
      <w:r w:rsidRPr="0072344F">
        <w:t xml:space="preserve"> and </w:t>
      </w:r>
      <w:r w:rsidR="007B20A6">
        <w:t>“</w:t>
      </w:r>
      <w:r w:rsidRPr="0072344F">
        <w:t>the madwoman in the attic</w:t>
      </w:r>
      <w:r>
        <w:t>,</w:t>
      </w:r>
      <w:r w:rsidR="007B20A6">
        <w:t>”</w:t>
      </w:r>
      <w:r w:rsidRPr="0072344F">
        <w:t xml:space="preserve"> figures of scandal like the fallen woman</w:t>
      </w:r>
      <w:r w:rsidR="00DC31E6">
        <w:t xml:space="preserve">, the “Race-Woman,” and </w:t>
      </w:r>
      <w:r w:rsidRPr="0072344F">
        <w:t>the New Woman</w:t>
      </w:r>
      <w:r>
        <w:t>,</w:t>
      </w:r>
      <w:r w:rsidRPr="0072344F">
        <w:t xml:space="preserve"> and political programs</w:t>
      </w:r>
      <w:r>
        <w:t xml:space="preserve"> </w:t>
      </w:r>
      <w:r w:rsidR="00C55C2C">
        <w:t>extending</w:t>
      </w:r>
      <w:r w:rsidRPr="0072344F">
        <w:t xml:space="preserve"> from </w:t>
      </w:r>
      <w:r w:rsidR="004176CF">
        <w:t xml:space="preserve">Age of </w:t>
      </w:r>
      <w:r w:rsidRPr="0072344F">
        <w:t xml:space="preserve">Revolution </w:t>
      </w:r>
      <w:r w:rsidR="00BA09A3">
        <w:t>articulations</w:t>
      </w:r>
      <w:r w:rsidRPr="0072344F">
        <w:t xml:space="preserve"> of The Rights of Woman to early campaigns for female suffrage. </w:t>
      </w:r>
    </w:p>
    <w:p w14:paraId="1FE4DDBA" w14:textId="77777777" w:rsidR="007B20A6" w:rsidRDefault="007B20A6" w:rsidP="003C1A07"/>
    <w:p w14:paraId="31900A35" w14:textId="0E41393C" w:rsidR="003C1A07" w:rsidRDefault="003C1A07" w:rsidP="00896F38">
      <w:r w:rsidRPr="0072344F">
        <w:t>While gender is the primary focus of th</w:t>
      </w:r>
      <w:r w:rsidR="004A2F30">
        <w:t>e</w:t>
      </w:r>
      <w:r w:rsidRPr="0072344F">
        <w:t xml:space="preserve"> course, we will also ask how nineteenth-century constructions of femininity intersected with contemporaneous questions of race, class, and sexuality</w:t>
      </w:r>
      <w:r>
        <w:t xml:space="preserve">; to this end, </w:t>
      </w:r>
      <w:r w:rsidR="00916690">
        <w:t xml:space="preserve">we will </w:t>
      </w:r>
      <w:r w:rsidR="004B2755">
        <w:t>survey</w:t>
      </w:r>
      <w:r>
        <w:t xml:space="preserve"> authors from </w:t>
      </w:r>
      <w:r w:rsidR="004B2755">
        <w:t xml:space="preserve">both </w:t>
      </w:r>
      <w:r>
        <w:t xml:space="preserve">dominant and non-dominant traditions of </w:t>
      </w:r>
      <w:r w:rsidR="00535B1B">
        <w:t xml:space="preserve">literary </w:t>
      </w:r>
      <w:r w:rsidR="00392D6F">
        <w:t>writing</w:t>
      </w:r>
      <w:r>
        <w:t xml:space="preserve"> in English.</w:t>
      </w:r>
      <w:r w:rsidRPr="0072344F">
        <w:t xml:space="preserve"> Hailing from across the Anglophone world, our authors include Mary Wollstonecraft, Mary Prince, </w:t>
      </w:r>
      <w:r>
        <w:t xml:space="preserve">Elizabeth Barrett Browning, </w:t>
      </w:r>
      <w:r w:rsidRPr="0072344F">
        <w:t>Charlotte Bront</w:t>
      </w:r>
      <w:r>
        <w:t>ë</w:t>
      </w:r>
      <w:r w:rsidRPr="0072344F">
        <w:t xml:space="preserve">, </w:t>
      </w:r>
      <w:r>
        <w:t xml:space="preserve">Frances Harper, </w:t>
      </w:r>
      <w:r w:rsidRPr="0072344F">
        <w:t xml:space="preserve">Emily Dickinson, Christina Rossetti, Toru Dutt, </w:t>
      </w:r>
      <w:r w:rsidRPr="007B53DE">
        <w:t>E. Pauline Johnson (Tekahionwake)</w:t>
      </w:r>
      <w:r>
        <w:t xml:space="preserve">, </w:t>
      </w:r>
      <w:r w:rsidRPr="0072344F">
        <w:t>Anna Julia Cooper</w:t>
      </w:r>
      <w:r>
        <w:t xml:space="preserve">, </w:t>
      </w:r>
      <w:r w:rsidRPr="0072344F">
        <w:t>Zitkála-Šá, Pauline Hopkins,</w:t>
      </w:r>
      <w:r>
        <w:t xml:space="preserve"> </w:t>
      </w:r>
      <w:r w:rsidRPr="00504188">
        <w:t>Rokeya Sakhawat Hossain</w:t>
      </w:r>
      <w:r>
        <w:t>, and many others.</w:t>
      </w:r>
      <w:r w:rsidRPr="00E402EF">
        <w:t xml:space="preserve"> </w:t>
      </w:r>
    </w:p>
    <w:p w14:paraId="773D751B" w14:textId="77777777" w:rsidR="00161F3D" w:rsidRDefault="00161F3D" w:rsidP="00896F38"/>
    <w:p w14:paraId="65A88D4A" w14:textId="77777777" w:rsidR="00161F3D" w:rsidRDefault="00161F3D" w:rsidP="00896F38"/>
    <w:p w14:paraId="5DA57F5D" w14:textId="05BDFC00" w:rsidR="00161F3D" w:rsidRDefault="00161F3D" w:rsidP="00896F38">
      <w:pPr>
        <w:rPr>
          <w:b/>
          <w:bCs/>
        </w:rPr>
      </w:pPr>
      <w:r>
        <w:rPr>
          <w:b/>
          <w:bCs/>
        </w:rPr>
        <w:br w:type="page"/>
      </w:r>
    </w:p>
    <w:p w14:paraId="366AEE53" w14:textId="0DBD3B9F" w:rsidR="003C1A07" w:rsidRDefault="00161F3D" w:rsidP="00161F3D">
      <w:pPr>
        <w:jc w:val="center"/>
        <w:rPr>
          <w:b/>
          <w:bCs/>
        </w:rPr>
      </w:pPr>
      <w:r>
        <w:rPr>
          <w:b/>
          <w:bCs/>
        </w:rPr>
        <w:lastRenderedPageBreak/>
        <w:t>Schedule of Readings</w:t>
      </w:r>
    </w:p>
    <w:p w14:paraId="4C600E77" w14:textId="77777777" w:rsidR="00161F3D" w:rsidRPr="0072344F" w:rsidRDefault="00161F3D" w:rsidP="003C1A07"/>
    <w:p w14:paraId="771A5F5F" w14:textId="266DF9FD" w:rsidR="00B32963" w:rsidRPr="00A54A54" w:rsidRDefault="00711DF3" w:rsidP="003C1A07">
      <w:pPr>
        <w:rPr>
          <w:b/>
          <w:bCs/>
        </w:rPr>
      </w:pPr>
      <w:r w:rsidRPr="00A54A54">
        <w:rPr>
          <w:b/>
          <w:bCs/>
        </w:rPr>
        <w:t xml:space="preserve">UNIT 1: </w:t>
      </w:r>
      <w:r w:rsidR="008A6799" w:rsidRPr="00A54A54">
        <w:rPr>
          <w:b/>
          <w:bCs/>
        </w:rPr>
        <w:t>HUMANISM</w:t>
      </w:r>
      <w:r w:rsidR="00B32963" w:rsidRPr="00A54A54">
        <w:rPr>
          <w:b/>
          <w:bCs/>
        </w:rPr>
        <w:t>,</w:t>
      </w:r>
      <w:r w:rsidR="008A6799" w:rsidRPr="00A54A54">
        <w:rPr>
          <w:b/>
          <w:bCs/>
        </w:rPr>
        <w:t xml:space="preserve"> FEMINISM</w:t>
      </w:r>
      <w:r w:rsidR="00B32963" w:rsidRPr="00A54A54">
        <w:rPr>
          <w:b/>
          <w:bCs/>
        </w:rPr>
        <w:t>, RACISM</w:t>
      </w:r>
    </w:p>
    <w:p w14:paraId="34EC2CAD" w14:textId="77777777" w:rsidR="00711DF3" w:rsidRPr="00A54A54" w:rsidRDefault="00711DF3" w:rsidP="003C1A07">
      <w:pPr>
        <w:rPr>
          <w:b/>
          <w:bCs/>
        </w:rPr>
      </w:pPr>
    </w:p>
    <w:p w14:paraId="3F45BF2B" w14:textId="0C0EF57B" w:rsidR="003C1A07" w:rsidRPr="00A54A54" w:rsidRDefault="003C1A07" w:rsidP="003C1A07">
      <w:pPr>
        <w:rPr>
          <w:b/>
          <w:bCs/>
        </w:rPr>
      </w:pPr>
      <w:r w:rsidRPr="00A54A54">
        <w:rPr>
          <w:b/>
          <w:bCs/>
        </w:rPr>
        <w:t>Week 1: Human Rights</w:t>
      </w:r>
    </w:p>
    <w:p w14:paraId="71C3A65D" w14:textId="77777777" w:rsidR="003C1A07" w:rsidRPr="00A54A54" w:rsidRDefault="003C1A07" w:rsidP="003C1A07"/>
    <w:p w14:paraId="79D24481" w14:textId="77777777" w:rsidR="003C1A07" w:rsidRPr="00A54A54" w:rsidRDefault="003C1A07" w:rsidP="003C1A07">
      <w:pPr>
        <w:pStyle w:val="ListParagraph"/>
        <w:numPr>
          <w:ilvl w:val="0"/>
          <w:numId w:val="5"/>
        </w:numPr>
      </w:pPr>
      <w:r w:rsidRPr="00A54A54">
        <w:t>(In class on first day) Judith Sargent Murray, “On the Equality of the Sexes” (1790)</w:t>
      </w:r>
    </w:p>
    <w:p w14:paraId="129AF97C" w14:textId="221C2D1D" w:rsidR="003C1A07" w:rsidRPr="00A54A54" w:rsidRDefault="003C1A07" w:rsidP="003C1A07">
      <w:pPr>
        <w:pStyle w:val="ListParagraph"/>
        <w:numPr>
          <w:ilvl w:val="0"/>
          <w:numId w:val="5"/>
        </w:numPr>
      </w:pPr>
      <w:r w:rsidRPr="00A54A54">
        <w:t xml:space="preserve">Mary Wollstonecraft, excerpts from </w:t>
      </w:r>
      <w:r w:rsidRPr="00A54A54">
        <w:rPr>
          <w:i/>
          <w:iCs/>
        </w:rPr>
        <w:t>A Vindication of the Rights of Woman</w:t>
      </w:r>
      <w:r w:rsidRPr="00A54A54">
        <w:t xml:space="preserve"> (1792)</w:t>
      </w:r>
    </w:p>
    <w:p w14:paraId="2DFB7340" w14:textId="131343C0" w:rsidR="00711DF3" w:rsidRPr="00A54A54" w:rsidRDefault="00DD1AFA" w:rsidP="003C1A07">
      <w:pPr>
        <w:pStyle w:val="ListParagraph"/>
        <w:numPr>
          <w:ilvl w:val="0"/>
          <w:numId w:val="5"/>
        </w:numPr>
      </w:pPr>
      <w:r w:rsidRPr="00A54A54">
        <w:t xml:space="preserve">Suggested secondary reading: </w:t>
      </w:r>
      <w:r w:rsidR="00711DF3" w:rsidRPr="00A54A54">
        <w:t xml:space="preserve">Jill Richards, excerpts from </w:t>
      </w:r>
      <w:r w:rsidR="00711DF3" w:rsidRPr="00A54A54">
        <w:rPr>
          <w:i/>
          <w:iCs/>
        </w:rPr>
        <w:t>The Fury Archives</w:t>
      </w:r>
      <w:r w:rsidR="00A9024A">
        <w:rPr>
          <w:i/>
          <w:iCs/>
        </w:rPr>
        <w:t>:</w:t>
      </w:r>
      <w:r w:rsidR="00A9024A" w:rsidRPr="00A9024A">
        <w:t xml:space="preserve"> </w:t>
      </w:r>
      <w:r w:rsidR="00A9024A" w:rsidRPr="00A9024A">
        <w:rPr>
          <w:i/>
          <w:iCs/>
        </w:rPr>
        <w:t>Female Citizenship, Human Rights, and the International Avant-Gardes</w:t>
      </w:r>
      <w:r w:rsidR="00711DF3" w:rsidRPr="00A54A54">
        <w:t xml:space="preserve"> (2020)</w:t>
      </w:r>
    </w:p>
    <w:p w14:paraId="5E61BDD2" w14:textId="77777777" w:rsidR="003C1A07" w:rsidRPr="00A54A54" w:rsidRDefault="003C1A07" w:rsidP="003C1A07"/>
    <w:p w14:paraId="5791F0A5" w14:textId="152C85FE" w:rsidR="003C1A07" w:rsidRDefault="003C1A07" w:rsidP="003A4A1D">
      <w:pPr>
        <w:spacing w:before="120"/>
        <w:rPr>
          <w:b/>
          <w:bCs/>
        </w:rPr>
      </w:pPr>
      <w:r w:rsidRPr="00A54A54">
        <w:rPr>
          <w:b/>
          <w:bCs/>
        </w:rPr>
        <w:t xml:space="preserve">Week 2: Women’s Rights </w:t>
      </w:r>
    </w:p>
    <w:p w14:paraId="681D30C5" w14:textId="77777777" w:rsidR="00595348" w:rsidRPr="003A4A1D" w:rsidRDefault="00595348" w:rsidP="00595348">
      <w:pPr>
        <w:rPr>
          <w:b/>
          <w:bCs/>
        </w:rPr>
      </w:pPr>
    </w:p>
    <w:p w14:paraId="14C9E008" w14:textId="77777777" w:rsidR="003C1A07" w:rsidRPr="00A54A54" w:rsidRDefault="003C1A07" w:rsidP="003C1A07">
      <w:pPr>
        <w:pStyle w:val="ListParagraph"/>
        <w:numPr>
          <w:ilvl w:val="0"/>
          <w:numId w:val="6"/>
        </w:numPr>
      </w:pPr>
      <w:r w:rsidRPr="00A54A54">
        <w:t xml:space="preserve">Charlotte Brontë, </w:t>
      </w:r>
      <w:r w:rsidRPr="00A54A54">
        <w:rPr>
          <w:i/>
          <w:iCs/>
        </w:rPr>
        <w:t>Jane Eyre</w:t>
      </w:r>
      <w:r w:rsidRPr="00A54A54">
        <w:t xml:space="preserve"> (1847), ch. I-V </w:t>
      </w:r>
    </w:p>
    <w:p w14:paraId="1FA45093" w14:textId="77777777" w:rsidR="003C1A07" w:rsidRPr="00A54A54" w:rsidRDefault="003C1A07" w:rsidP="003C1A07">
      <w:pPr>
        <w:pStyle w:val="ListParagraph"/>
        <w:numPr>
          <w:ilvl w:val="0"/>
          <w:numId w:val="6"/>
        </w:numPr>
      </w:pPr>
      <w:r w:rsidRPr="00A54A54">
        <w:t xml:space="preserve">Mary Wollstonecraft, excerpts from </w:t>
      </w:r>
      <w:r w:rsidRPr="00A54A54">
        <w:rPr>
          <w:i/>
          <w:iCs/>
        </w:rPr>
        <w:t>A Vindication of the Rights of Woman</w:t>
      </w:r>
      <w:r w:rsidRPr="00A54A54">
        <w:t xml:space="preserve"> (1792)</w:t>
      </w:r>
    </w:p>
    <w:p w14:paraId="7DB3DDAF" w14:textId="76D5EF16" w:rsidR="003C1A07" w:rsidRPr="00A54A54" w:rsidRDefault="003C1A07" w:rsidP="003C1A07">
      <w:pPr>
        <w:pStyle w:val="ListParagraph"/>
        <w:numPr>
          <w:ilvl w:val="0"/>
          <w:numId w:val="6"/>
        </w:numPr>
        <w:rPr>
          <w:u w:val="single"/>
        </w:rPr>
      </w:pPr>
      <w:r w:rsidRPr="00A54A54">
        <w:rPr>
          <w:color w:val="000000" w:themeColor="text1"/>
        </w:rPr>
        <w:t>Anna L</w:t>
      </w:r>
      <w:r w:rsidR="00D50BC3">
        <w:rPr>
          <w:color w:val="000000" w:themeColor="text1"/>
        </w:rPr>
        <w:t>a</w:t>
      </w:r>
      <w:r w:rsidRPr="00A54A54">
        <w:rPr>
          <w:color w:val="000000" w:themeColor="text1"/>
        </w:rPr>
        <w:t xml:space="preserve">etitia Barbauld, </w:t>
      </w:r>
      <w:r w:rsidRPr="00A54A54">
        <w:t>“The Rights of Woman” (1792)</w:t>
      </w:r>
    </w:p>
    <w:p w14:paraId="4B6798F0" w14:textId="06E418AC" w:rsidR="00711DF3" w:rsidRPr="00A54A54" w:rsidRDefault="00A34B68" w:rsidP="003C1A07">
      <w:pPr>
        <w:pStyle w:val="ListParagraph"/>
        <w:numPr>
          <w:ilvl w:val="0"/>
          <w:numId w:val="6"/>
        </w:numPr>
        <w:rPr>
          <w:u w:val="single"/>
        </w:rPr>
      </w:pPr>
      <w:r w:rsidRPr="00A54A54">
        <w:t xml:space="preserve">Suggested secondary reading: </w:t>
      </w:r>
      <w:r w:rsidR="00711DF3" w:rsidRPr="00A54A54">
        <w:t>Gayatri Chakravorty Spivak, excerpts from “Three Women’s Texts and a Critique of Imperialism” (1985)</w:t>
      </w:r>
      <w:r w:rsidR="000573E6" w:rsidRPr="00A54A54">
        <w:t xml:space="preserve"> and Elizabeth </w:t>
      </w:r>
      <w:r w:rsidR="005B3F3C">
        <w:t xml:space="preserve">S. </w:t>
      </w:r>
      <w:r w:rsidR="000573E6" w:rsidRPr="00A54A54">
        <w:t xml:space="preserve">Anker, </w:t>
      </w:r>
      <w:r w:rsidR="005F0FBE">
        <w:t xml:space="preserve">excerpts from </w:t>
      </w:r>
      <w:r w:rsidR="000573E6" w:rsidRPr="00A54A54">
        <w:rPr>
          <w:i/>
          <w:iCs/>
        </w:rPr>
        <w:t>Fictions of Dignity</w:t>
      </w:r>
      <w:r w:rsidR="005B3F3C">
        <w:rPr>
          <w:i/>
          <w:iCs/>
        </w:rPr>
        <w:t xml:space="preserve">: </w:t>
      </w:r>
      <w:r w:rsidR="005B3F3C" w:rsidRPr="005B3F3C">
        <w:rPr>
          <w:i/>
          <w:iCs/>
        </w:rPr>
        <w:t>Embodying Human Rights in World Literature</w:t>
      </w:r>
      <w:r w:rsidR="000573E6" w:rsidRPr="00A54A54">
        <w:t xml:space="preserve"> (2012</w:t>
      </w:r>
      <w:r w:rsidR="005B3F3C">
        <w:t>)</w:t>
      </w:r>
    </w:p>
    <w:p w14:paraId="40787CD6" w14:textId="77777777" w:rsidR="003C1A07" w:rsidRPr="00A54A54" w:rsidRDefault="003C1A07" w:rsidP="003C1A07"/>
    <w:p w14:paraId="6959EAC4" w14:textId="72DD40AC" w:rsidR="003C1A07" w:rsidRPr="00A54A54" w:rsidRDefault="003C1A07" w:rsidP="003A4A1D">
      <w:pPr>
        <w:spacing w:before="120"/>
        <w:rPr>
          <w:b/>
          <w:bCs/>
        </w:rPr>
      </w:pPr>
      <w:r w:rsidRPr="00A54A54">
        <w:rPr>
          <w:b/>
          <w:bCs/>
        </w:rPr>
        <w:t>Week 3: Enlightenment Ideals</w:t>
      </w:r>
      <w:r w:rsidR="00711DF3" w:rsidRPr="00A54A54">
        <w:rPr>
          <w:b/>
          <w:bCs/>
        </w:rPr>
        <w:t xml:space="preserve"> vs. “the Peculiar Institution”</w:t>
      </w:r>
    </w:p>
    <w:p w14:paraId="399056EB" w14:textId="77777777" w:rsidR="003C1A07" w:rsidRPr="00A54A54" w:rsidRDefault="003C1A07" w:rsidP="003C1A07"/>
    <w:p w14:paraId="7163368E" w14:textId="42929C6F" w:rsidR="003C1A07" w:rsidRPr="00A54A54" w:rsidRDefault="003C1A07" w:rsidP="003C1A07">
      <w:pPr>
        <w:pStyle w:val="ListParagraph"/>
        <w:numPr>
          <w:ilvl w:val="0"/>
          <w:numId w:val="7"/>
        </w:numPr>
      </w:pPr>
      <w:r w:rsidRPr="00A54A54">
        <w:t xml:space="preserve">Charlotte Brontë, </w:t>
      </w:r>
      <w:r w:rsidRPr="00A54A54">
        <w:rPr>
          <w:i/>
          <w:iCs/>
        </w:rPr>
        <w:t>Jane Eyre</w:t>
      </w:r>
      <w:r w:rsidRPr="00A54A54">
        <w:t xml:space="preserve">, ch. VI-IX </w:t>
      </w:r>
    </w:p>
    <w:p w14:paraId="395A5D5F" w14:textId="77777777" w:rsidR="00711DF3" w:rsidRPr="00A54A54" w:rsidRDefault="00711DF3" w:rsidP="00711DF3">
      <w:pPr>
        <w:pStyle w:val="ListParagraph"/>
        <w:numPr>
          <w:ilvl w:val="0"/>
          <w:numId w:val="7"/>
        </w:numPr>
      </w:pPr>
      <w:r w:rsidRPr="00A54A54">
        <w:t xml:space="preserve">Mary Prince, </w:t>
      </w:r>
      <w:r w:rsidRPr="00A54A54">
        <w:rPr>
          <w:i/>
          <w:iCs/>
        </w:rPr>
        <w:t>The History of Mary Prince, A West Indian Slave, Related by Herself</w:t>
      </w:r>
      <w:r w:rsidRPr="00A54A54">
        <w:t xml:space="preserve"> (1831)</w:t>
      </w:r>
    </w:p>
    <w:p w14:paraId="5ABCEA84" w14:textId="77777777" w:rsidR="00711DF3" w:rsidRPr="00A54A54" w:rsidRDefault="00711DF3" w:rsidP="00711DF3">
      <w:pPr>
        <w:pStyle w:val="ListParagraph"/>
        <w:numPr>
          <w:ilvl w:val="0"/>
          <w:numId w:val="7"/>
        </w:numPr>
      </w:pPr>
      <w:r w:rsidRPr="00A54A54">
        <w:rPr>
          <w:color w:val="000000" w:themeColor="text1"/>
        </w:rPr>
        <w:t>Frances E. W. Harper, “The Slave Mother,” “Bible Defence of Slavery,” and “Eliza Harris” (1854), “Aunt Chloe’s Politics” and “Learning to Read” (1872), “Vashti” (1895), and “An Appeal to My Country Women” (1896)</w:t>
      </w:r>
    </w:p>
    <w:p w14:paraId="0D881A01" w14:textId="5B7AEB54" w:rsidR="00711DF3" w:rsidRPr="00A54A54" w:rsidRDefault="00711DF3" w:rsidP="00711DF3">
      <w:pPr>
        <w:pStyle w:val="ListParagraph"/>
        <w:numPr>
          <w:ilvl w:val="0"/>
          <w:numId w:val="7"/>
        </w:numPr>
      </w:pPr>
      <w:r w:rsidRPr="00A54A54">
        <w:t>Elizabeth Barrett Browning, “The Runaway Slave at Pilgrim’s Point” (1848) and “A Curse for a Nation” (1856)</w:t>
      </w:r>
    </w:p>
    <w:p w14:paraId="77136A39" w14:textId="6277FA13" w:rsidR="00711DF3" w:rsidRPr="00A54A54" w:rsidRDefault="00A34B68" w:rsidP="003C1A07">
      <w:pPr>
        <w:pStyle w:val="ListParagraph"/>
        <w:numPr>
          <w:ilvl w:val="0"/>
          <w:numId w:val="7"/>
        </w:numPr>
      </w:pPr>
      <w:r w:rsidRPr="00A54A54">
        <w:t xml:space="preserve">Suggested secondary reading: </w:t>
      </w:r>
      <w:r w:rsidR="00711DF3" w:rsidRPr="00A54A54">
        <w:t xml:space="preserve">Zakiyyah Iman Jackson, excerpts from </w:t>
      </w:r>
      <w:r w:rsidR="00711DF3" w:rsidRPr="00A54A54">
        <w:rPr>
          <w:i/>
          <w:iCs/>
        </w:rPr>
        <w:t>Becoming Human</w:t>
      </w:r>
      <w:r w:rsidR="00366DE2">
        <w:rPr>
          <w:i/>
          <w:iCs/>
        </w:rPr>
        <w:t xml:space="preserve">: </w:t>
      </w:r>
      <w:r w:rsidR="00366DE2" w:rsidRPr="00366DE2">
        <w:rPr>
          <w:i/>
          <w:iCs/>
        </w:rPr>
        <w:t>Matter and Meaning in an Antiblack World</w:t>
      </w:r>
      <w:r w:rsidR="00711DF3" w:rsidRPr="00A54A54">
        <w:t xml:space="preserve"> (2020)</w:t>
      </w:r>
    </w:p>
    <w:p w14:paraId="490C45FB" w14:textId="77777777" w:rsidR="003C1A07" w:rsidRPr="00A54A54" w:rsidRDefault="003C1A07" w:rsidP="003C1A07">
      <w:pPr>
        <w:ind w:left="2160" w:hanging="2160"/>
      </w:pPr>
    </w:p>
    <w:p w14:paraId="4C1D9A9F" w14:textId="3885A071" w:rsidR="002B2593" w:rsidRPr="00A54A54" w:rsidRDefault="002B2593" w:rsidP="002B2593">
      <w:pPr>
        <w:rPr>
          <w:i/>
          <w:iCs/>
        </w:rPr>
      </w:pPr>
      <w:r w:rsidRPr="00A54A54">
        <w:rPr>
          <w:i/>
          <w:iCs/>
        </w:rPr>
        <w:t xml:space="preserve">Note: On the first day of class, I provide a brief prehistory of global women’s writing and introduce the dual expansion of authorship and readership that distinguishes our era of study and that facilitated the proliferation of writing by women. </w:t>
      </w:r>
      <w:r w:rsidR="00DC4EB3">
        <w:rPr>
          <w:i/>
          <w:iCs/>
        </w:rPr>
        <w:t>We use</w:t>
      </w:r>
      <w:r w:rsidRPr="00A54A54">
        <w:rPr>
          <w:i/>
          <w:iCs/>
        </w:rPr>
        <w:t xml:space="preserve"> </w:t>
      </w:r>
      <w:r w:rsidR="00046048">
        <w:rPr>
          <w:i/>
          <w:iCs/>
        </w:rPr>
        <w:t xml:space="preserve">Judith Sargent </w:t>
      </w:r>
      <w:r w:rsidRPr="00A54A54">
        <w:rPr>
          <w:i/>
          <w:iCs/>
        </w:rPr>
        <w:t>Murray’s poem</w:t>
      </w:r>
      <w:r w:rsidR="00DC4EB3">
        <w:rPr>
          <w:i/>
          <w:iCs/>
        </w:rPr>
        <w:t xml:space="preserve"> to</w:t>
      </w:r>
      <w:r w:rsidRPr="00A54A54">
        <w:rPr>
          <w:i/>
          <w:iCs/>
        </w:rPr>
        <w:t xml:space="preserve"> </w:t>
      </w:r>
      <w:r w:rsidR="00CF4109">
        <w:rPr>
          <w:i/>
          <w:iCs/>
        </w:rPr>
        <w:t>identify</w:t>
      </w:r>
      <w:r w:rsidRPr="00A54A54">
        <w:rPr>
          <w:i/>
          <w:iCs/>
        </w:rPr>
        <w:t xml:space="preserve"> ideals of Revolutionary-era “Republican Motherhood, setting up our analysis, over the first two weeks, of how women’s rights strategically articulated</w:t>
      </w:r>
      <w:r>
        <w:rPr>
          <w:i/>
          <w:iCs/>
        </w:rPr>
        <w:t xml:space="preserve"> itself</w:t>
      </w:r>
      <w:r w:rsidRPr="00A54A54">
        <w:rPr>
          <w:i/>
          <w:iCs/>
        </w:rPr>
        <w:t xml:space="preserve"> as an extension of human rights at the end of the eighteenth century and of how </w:t>
      </w:r>
      <w:r w:rsidR="007018A2">
        <w:rPr>
          <w:i/>
          <w:iCs/>
        </w:rPr>
        <w:t>an enduring</w:t>
      </w:r>
      <w:r w:rsidRPr="00A54A54">
        <w:rPr>
          <w:i/>
          <w:iCs/>
        </w:rPr>
        <w:t xml:space="preserve"> ideology of separate spheres calcified around the same time. </w:t>
      </w:r>
      <w:r w:rsidR="00D1718C">
        <w:rPr>
          <w:i/>
          <w:iCs/>
        </w:rPr>
        <w:t xml:space="preserve">After exploring </w:t>
      </w:r>
      <w:r w:rsidRPr="00A54A54">
        <w:rPr>
          <w:i/>
          <w:iCs/>
        </w:rPr>
        <w:t xml:space="preserve">splits and shifts within early feminism </w:t>
      </w:r>
      <w:r w:rsidR="00D1718C">
        <w:rPr>
          <w:i/>
          <w:iCs/>
        </w:rPr>
        <w:t>through</w:t>
      </w:r>
      <w:r w:rsidRPr="00A54A54">
        <w:rPr>
          <w:i/>
          <w:iCs/>
        </w:rPr>
        <w:t xml:space="preserve"> the writings of</w:t>
      </w:r>
      <w:r w:rsidR="00523831">
        <w:rPr>
          <w:i/>
          <w:iCs/>
        </w:rPr>
        <w:t xml:space="preserve"> Mary </w:t>
      </w:r>
      <w:r w:rsidRPr="00A54A54">
        <w:rPr>
          <w:i/>
          <w:iCs/>
        </w:rPr>
        <w:t>Wollstonecraft and</w:t>
      </w:r>
      <w:r w:rsidR="00523831">
        <w:rPr>
          <w:i/>
          <w:iCs/>
        </w:rPr>
        <w:t xml:space="preserve"> Anna L</w:t>
      </w:r>
      <w:r w:rsidR="00D50BC3">
        <w:rPr>
          <w:i/>
          <w:iCs/>
        </w:rPr>
        <w:t>a</w:t>
      </w:r>
      <w:r w:rsidR="00523831">
        <w:rPr>
          <w:i/>
          <w:iCs/>
        </w:rPr>
        <w:t>et</w:t>
      </w:r>
      <w:r w:rsidR="00D50BC3">
        <w:rPr>
          <w:i/>
          <w:iCs/>
        </w:rPr>
        <w:t>i</w:t>
      </w:r>
      <w:r w:rsidR="00523831">
        <w:rPr>
          <w:i/>
          <w:iCs/>
        </w:rPr>
        <w:t>tia</w:t>
      </w:r>
      <w:r w:rsidRPr="00A54A54">
        <w:rPr>
          <w:i/>
          <w:iCs/>
        </w:rPr>
        <w:t xml:space="preserve"> Barbaul</w:t>
      </w:r>
      <w:r w:rsidR="00D1718C">
        <w:rPr>
          <w:i/>
          <w:iCs/>
        </w:rPr>
        <w:t xml:space="preserve">d, we </w:t>
      </w:r>
      <w:r w:rsidR="002C19A7">
        <w:rPr>
          <w:i/>
          <w:iCs/>
        </w:rPr>
        <w:t>consider how</w:t>
      </w:r>
      <w:r w:rsidR="00D1718C">
        <w:rPr>
          <w:i/>
          <w:iCs/>
        </w:rPr>
        <w:t xml:space="preserve"> the </w:t>
      </w:r>
      <w:r w:rsidR="00CD33F4">
        <w:rPr>
          <w:i/>
          <w:iCs/>
        </w:rPr>
        <w:t>expansion</w:t>
      </w:r>
      <w:r w:rsidR="00D1718C">
        <w:rPr>
          <w:i/>
          <w:iCs/>
        </w:rPr>
        <w:t xml:space="preserve"> of </w:t>
      </w:r>
      <w:r w:rsidRPr="00A54A54">
        <w:rPr>
          <w:i/>
          <w:iCs/>
        </w:rPr>
        <w:t>Revolution-era ideals like liberty, equality, and fraternity</w:t>
      </w:r>
      <w:r w:rsidR="002C19A7">
        <w:rPr>
          <w:i/>
          <w:iCs/>
        </w:rPr>
        <w:t xml:space="preserve"> </w:t>
      </w:r>
      <w:r w:rsidR="00D610AD">
        <w:rPr>
          <w:i/>
          <w:iCs/>
        </w:rPr>
        <w:t>engaged,</w:t>
      </w:r>
      <w:r w:rsidR="002C19A7">
        <w:rPr>
          <w:i/>
          <w:iCs/>
        </w:rPr>
        <w:t xml:space="preserve"> confronted</w:t>
      </w:r>
      <w:r w:rsidR="00D610AD">
        <w:rPr>
          <w:i/>
          <w:iCs/>
        </w:rPr>
        <w:t xml:space="preserve">, or ignored </w:t>
      </w:r>
      <w:r w:rsidR="00E64C3F">
        <w:rPr>
          <w:i/>
          <w:iCs/>
        </w:rPr>
        <w:t xml:space="preserve">the </w:t>
      </w:r>
      <w:r w:rsidR="00F35F96">
        <w:rPr>
          <w:i/>
          <w:iCs/>
        </w:rPr>
        <w:t>global</w:t>
      </w:r>
      <w:r w:rsidR="00503A61">
        <w:rPr>
          <w:i/>
          <w:iCs/>
        </w:rPr>
        <w:t xml:space="preserve"> institutions of slavery</w:t>
      </w:r>
      <w:r w:rsidR="00894515">
        <w:rPr>
          <w:i/>
          <w:iCs/>
        </w:rPr>
        <w:t xml:space="preserve">. </w:t>
      </w:r>
      <w:r w:rsidR="00D50BC3">
        <w:rPr>
          <w:i/>
          <w:iCs/>
        </w:rPr>
        <w:t>T</w:t>
      </w:r>
      <w:r w:rsidRPr="00A54A54">
        <w:rPr>
          <w:i/>
          <w:iCs/>
        </w:rPr>
        <w:t>he ensuing week focus</w:t>
      </w:r>
      <w:r>
        <w:rPr>
          <w:i/>
          <w:iCs/>
        </w:rPr>
        <w:t>es</w:t>
      </w:r>
      <w:r w:rsidRPr="00A54A54">
        <w:rPr>
          <w:i/>
          <w:iCs/>
        </w:rPr>
        <w:t xml:space="preserve"> on attempts by white abolitionists, formerly enslaved authors, and freewomen to extend these ideals along the lines of race as well as gender</w:t>
      </w:r>
      <w:r w:rsidR="00894515">
        <w:rPr>
          <w:i/>
          <w:iCs/>
        </w:rPr>
        <w:t>, while secondary readings contextualize the Enlightenment rhetoric of “rights”</w:t>
      </w:r>
      <w:r w:rsidR="00207C40">
        <w:rPr>
          <w:i/>
          <w:iCs/>
        </w:rPr>
        <w:t xml:space="preserve"> and the populations it excluded.</w:t>
      </w:r>
      <w:r w:rsidRPr="00A54A54">
        <w:rPr>
          <w:i/>
          <w:iCs/>
        </w:rPr>
        <w:t xml:space="preserve"> In week </w:t>
      </w:r>
      <w:r>
        <w:rPr>
          <w:i/>
          <w:iCs/>
        </w:rPr>
        <w:t>two</w:t>
      </w:r>
      <w:r w:rsidRPr="00A54A54">
        <w:rPr>
          <w:i/>
          <w:iCs/>
        </w:rPr>
        <w:t xml:space="preserve">, </w:t>
      </w:r>
      <w:r>
        <w:rPr>
          <w:i/>
          <w:iCs/>
        </w:rPr>
        <w:t xml:space="preserve">to prepare for </w:t>
      </w:r>
      <w:r w:rsidR="0051454E">
        <w:rPr>
          <w:i/>
          <w:iCs/>
        </w:rPr>
        <w:t xml:space="preserve">our upcoming </w:t>
      </w:r>
      <w:r w:rsidR="00D50BC3">
        <w:rPr>
          <w:i/>
          <w:iCs/>
        </w:rPr>
        <w:t>sessions</w:t>
      </w:r>
      <w:r>
        <w:rPr>
          <w:i/>
          <w:iCs/>
        </w:rPr>
        <w:t xml:space="preserve">, </w:t>
      </w:r>
      <w:r w:rsidRPr="00A54A54">
        <w:rPr>
          <w:i/>
          <w:iCs/>
        </w:rPr>
        <w:t xml:space="preserve">I also initiate a discussion about classroom language use as we encounter racist terminology and </w:t>
      </w:r>
      <w:r w:rsidR="002C19A7">
        <w:rPr>
          <w:i/>
          <w:iCs/>
        </w:rPr>
        <w:t>uses</w:t>
      </w:r>
      <w:r w:rsidRPr="00A54A54">
        <w:rPr>
          <w:i/>
          <w:iCs/>
        </w:rPr>
        <w:t xml:space="preserve"> of dialect in our texts; after students read Koritha Mitchell’s Classroom Covenant (http://www.korithamitchell.com/teaching-and-the-n-word/), I ask them to deliberate </w:t>
      </w:r>
      <w:r w:rsidR="00CC4B84">
        <w:rPr>
          <w:i/>
          <w:iCs/>
        </w:rPr>
        <w:t xml:space="preserve">on </w:t>
      </w:r>
      <w:r w:rsidRPr="00A54A54">
        <w:rPr>
          <w:i/>
          <w:iCs/>
        </w:rPr>
        <w:t xml:space="preserve">how we should proceed. </w:t>
      </w:r>
      <w:r>
        <w:rPr>
          <w:i/>
          <w:iCs/>
        </w:rPr>
        <w:t xml:space="preserve"> </w:t>
      </w:r>
      <w:r w:rsidRPr="00A54A54">
        <w:rPr>
          <w:i/>
          <w:iCs/>
        </w:rPr>
        <w:t xml:space="preserve"> </w:t>
      </w:r>
    </w:p>
    <w:p w14:paraId="3B583AE5" w14:textId="77777777" w:rsidR="00FC1184" w:rsidRPr="00A54A54" w:rsidRDefault="00FC1184" w:rsidP="003C1A07">
      <w:pPr>
        <w:ind w:left="2160" w:hanging="2160"/>
        <w:rPr>
          <w:b/>
          <w:bCs/>
        </w:rPr>
      </w:pPr>
    </w:p>
    <w:p w14:paraId="06D09D0D" w14:textId="052207F5" w:rsidR="00FC1184" w:rsidRPr="00A54A54" w:rsidRDefault="00FC1184" w:rsidP="003C1A07">
      <w:pPr>
        <w:ind w:left="2160" w:hanging="2160"/>
        <w:rPr>
          <w:b/>
          <w:bCs/>
        </w:rPr>
      </w:pPr>
      <w:r w:rsidRPr="00A54A54">
        <w:rPr>
          <w:b/>
          <w:bCs/>
        </w:rPr>
        <w:t xml:space="preserve">UNIT 2: </w:t>
      </w:r>
      <w:r w:rsidR="0020677A" w:rsidRPr="00A54A54">
        <w:rPr>
          <w:b/>
          <w:bCs/>
        </w:rPr>
        <w:t xml:space="preserve">CONDUCT, CLASS, LABOR </w:t>
      </w:r>
      <w:r w:rsidR="009751F5">
        <w:rPr>
          <w:b/>
          <w:bCs/>
        </w:rPr>
        <w:t xml:space="preserve"> </w:t>
      </w:r>
    </w:p>
    <w:p w14:paraId="1B9416A7" w14:textId="77777777" w:rsidR="00FC1184" w:rsidRPr="00A54A54" w:rsidRDefault="00FC1184" w:rsidP="003C1A07">
      <w:pPr>
        <w:ind w:left="2160" w:hanging="2160"/>
        <w:rPr>
          <w:b/>
          <w:bCs/>
        </w:rPr>
      </w:pPr>
    </w:p>
    <w:p w14:paraId="76E58912" w14:textId="534E2977" w:rsidR="003C1A07" w:rsidRPr="00A54A54" w:rsidRDefault="003C1A07" w:rsidP="003C1A07">
      <w:pPr>
        <w:ind w:left="2160" w:hanging="2160"/>
        <w:rPr>
          <w:b/>
          <w:bCs/>
        </w:rPr>
      </w:pPr>
      <w:r w:rsidRPr="00A54A54">
        <w:rPr>
          <w:b/>
          <w:bCs/>
        </w:rPr>
        <w:t xml:space="preserve">Week 4: </w:t>
      </w:r>
      <w:r w:rsidR="00640626" w:rsidRPr="00A54A54">
        <w:rPr>
          <w:b/>
          <w:bCs/>
        </w:rPr>
        <w:t xml:space="preserve">Victorian Conduct: </w:t>
      </w:r>
      <w:r w:rsidR="005F54E8">
        <w:rPr>
          <w:b/>
          <w:bCs/>
        </w:rPr>
        <w:t>Models</w:t>
      </w:r>
      <w:r w:rsidR="00640626" w:rsidRPr="00A54A54">
        <w:rPr>
          <w:b/>
          <w:bCs/>
        </w:rPr>
        <w:t xml:space="preserve"> and Rebels</w:t>
      </w:r>
    </w:p>
    <w:p w14:paraId="5EC85E0A" w14:textId="77777777" w:rsidR="003C1A07" w:rsidRPr="00A54A54" w:rsidRDefault="003C1A07" w:rsidP="003C1A07">
      <w:pPr>
        <w:ind w:left="2160" w:hanging="2160"/>
      </w:pPr>
    </w:p>
    <w:p w14:paraId="47CC920E" w14:textId="6B3F44F3" w:rsidR="003C1A07" w:rsidRPr="00A54A54" w:rsidRDefault="003C1A07" w:rsidP="003C1A07">
      <w:pPr>
        <w:pStyle w:val="ListParagraph"/>
        <w:numPr>
          <w:ilvl w:val="0"/>
          <w:numId w:val="8"/>
        </w:numPr>
      </w:pPr>
      <w:r w:rsidRPr="00A54A54">
        <w:t xml:space="preserve">Charlotte Brontë, </w:t>
      </w:r>
      <w:r w:rsidRPr="00A54A54">
        <w:rPr>
          <w:i/>
          <w:iCs/>
        </w:rPr>
        <w:t>Jane Eyre</w:t>
      </w:r>
      <w:r w:rsidRPr="00A54A54">
        <w:t>, ch. X-XI</w:t>
      </w:r>
    </w:p>
    <w:p w14:paraId="7502B2FE" w14:textId="366A16C8" w:rsidR="003C1A07" w:rsidRPr="00A54A54" w:rsidRDefault="00FC1184" w:rsidP="003C1A07">
      <w:pPr>
        <w:pStyle w:val="ListParagraph"/>
        <w:numPr>
          <w:ilvl w:val="0"/>
          <w:numId w:val="8"/>
        </w:numPr>
        <w:rPr>
          <w:b/>
          <w:bCs/>
        </w:rPr>
      </w:pPr>
      <w:r w:rsidRPr="00A54A54">
        <w:t xml:space="preserve">Sarah Stickney Ellis, </w:t>
      </w:r>
      <w:r w:rsidRPr="00A54A54">
        <w:rPr>
          <w:i/>
          <w:iCs/>
        </w:rPr>
        <w:t>The Daughters of England</w:t>
      </w:r>
      <w:r w:rsidRPr="00A54A54">
        <w:t xml:space="preserve"> (1842)</w:t>
      </w:r>
      <w:r w:rsidR="00D8195A">
        <w:t xml:space="preserve"> </w:t>
      </w:r>
    </w:p>
    <w:p w14:paraId="6DBD1A62" w14:textId="77777777" w:rsidR="00D1123F" w:rsidRPr="00A54A54" w:rsidRDefault="00D1123F" w:rsidP="00D1123F">
      <w:pPr>
        <w:pStyle w:val="ListParagraph"/>
        <w:numPr>
          <w:ilvl w:val="0"/>
          <w:numId w:val="8"/>
        </w:numPr>
        <w:rPr>
          <w:b/>
          <w:bCs/>
        </w:rPr>
      </w:pPr>
      <w:r w:rsidRPr="00A54A54">
        <w:rPr>
          <w:color w:val="000000" w:themeColor="text1"/>
        </w:rPr>
        <w:t>Emily Dickinson, “I’m Nobody! Who are you?” (c. 1861), “The Soul selects her own Society” (c. 1862), “She dealt her pretty words like Blades” (c. 1862), “The Soul has Bandaged moments” (c. 1862), “I think I was enchanted” (c. 1862), “They shut me up in Prose” (c. 1862), “I dwell in Possibility” (nd), “She rose to His Requirement” (c. 1863), “Rearrange a ‘Wife’s affection!” (nd)</w:t>
      </w:r>
    </w:p>
    <w:p w14:paraId="0CCB4906" w14:textId="7D7EF9E0" w:rsidR="00D1123F" w:rsidRPr="0072333E" w:rsidRDefault="00D1123F" w:rsidP="0072333E">
      <w:pPr>
        <w:pStyle w:val="ListParagraph"/>
        <w:numPr>
          <w:ilvl w:val="0"/>
          <w:numId w:val="8"/>
        </w:numPr>
        <w:rPr>
          <w:i/>
          <w:iCs/>
        </w:rPr>
      </w:pPr>
      <w:r w:rsidRPr="00A54A54">
        <w:t xml:space="preserve">Suggested secondary reading: </w:t>
      </w:r>
      <w:r w:rsidR="00945DEF">
        <w:t xml:space="preserve">Susan Fraiman, excerpts from </w:t>
      </w:r>
      <w:r w:rsidR="00945DEF" w:rsidRPr="00945DEF">
        <w:rPr>
          <w:i/>
          <w:iCs/>
        </w:rPr>
        <w:t>Unbecoming Women: British Women Writers and the Novel of Development</w:t>
      </w:r>
      <w:r w:rsidR="00945DEF">
        <w:t xml:space="preserve"> (1993)</w:t>
      </w:r>
      <w:r w:rsidR="00901DF1">
        <w:t xml:space="preserve"> and Marisa Palacios Knox, excerpts from </w:t>
      </w:r>
      <w:r w:rsidR="00901DF1" w:rsidRPr="00901DF1">
        <w:rPr>
          <w:i/>
          <w:iCs/>
        </w:rPr>
        <w:t>Victorian Women and Wayward Reading: Crises of Identification</w:t>
      </w:r>
      <w:r w:rsidR="00901DF1">
        <w:t xml:space="preserve"> (2020)</w:t>
      </w:r>
    </w:p>
    <w:p w14:paraId="3857D150" w14:textId="77777777" w:rsidR="003C1A07" w:rsidRPr="00A54A54" w:rsidRDefault="003C1A07" w:rsidP="003C1A07"/>
    <w:p w14:paraId="1C05C806" w14:textId="5552E524" w:rsidR="003C1A07" w:rsidRPr="00A54A54" w:rsidRDefault="003C1A07" w:rsidP="003A4A1D">
      <w:pPr>
        <w:spacing w:before="120"/>
        <w:rPr>
          <w:b/>
          <w:bCs/>
        </w:rPr>
      </w:pPr>
      <w:r w:rsidRPr="00A54A54">
        <w:rPr>
          <w:b/>
          <w:bCs/>
        </w:rPr>
        <w:t xml:space="preserve">Week 5: </w:t>
      </w:r>
      <w:r w:rsidR="005E5C1E" w:rsidRPr="00A54A54">
        <w:rPr>
          <w:b/>
          <w:bCs/>
        </w:rPr>
        <w:t>“Women’s Work”</w:t>
      </w:r>
    </w:p>
    <w:p w14:paraId="24D75F7B" w14:textId="77777777" w:rsidR="003C1A07" w:rsidRPr="00A54A54" w:rsidRDefault="003C1A07" w:rsidP="003C1A07">
      <w:pPr>
        <w:rPr>
          <w:b/>
          <w:bCs/>
        </w:rPr>
      </w:pPr>
    </w:p>
    <w:p w14:paraId="7576A83A" w14:textId="77777777" w:rsidR="003C1A07" w:rsidRPr="00A54A54" w:rsidRDefault="003C1A07" w:rsidP="003C1A07">
      <w:pPr>
        <w:pStyle w:val="ListParagraph"/>
        <w:numPr>
          <w:ilvl w:val="0"/>
          <w:numId w:val="11"/>
        </w:numPr>
        <w:rPr>
          <w:b/>
          <w:bCs/>
        </w:rPr>
      </w:pPr>
      <w:r w:rsidRPr="00A54A54">
        <w:t xml:space="preserve">Charlotte Brontë, </w:t>
      </w:r>
      <w:r w:rsidRPr="00A54A54">
        <w:rPr>
          <w:i/>
          <w:iCs/>
        </w:rPr>
        <w:t>Jane Eyre</w:t>
      </w:r>
      <w:r w:rsidRPr="00A54A54">
        <w:t>, ch. XII-XIII</w:t>
      </w:r>
    </w:p>
    <w:p w14:paraId="6420C243" w14:textId="682D862B" w:rsidR="003C1A07" w:rsidRPr="00A54A54" w:rsidRDefault="00FC1184" w:rsidP="003C1A07">
      <w:pPr>
        <w:pStyle w:val="ListParagraph"/>
        <w:numPr>
          <w:ilvl w:val="0"/>
          <w:numId w:val="11"/>
        </w:numPr>
        <w:rPr>
          <w:b/>
          <w:bCs/>
        </w:rPr>
      </w:pPr>
      <w:r w:rsidRPr="00A54A54">
        <w:t xml:space="preserve">Presentations on </w:t>
      </w:r>
      <w:r w:rsidR="003C1A07" w:rsidRPr="00A54A54">
        <w:t xml:space="preserve">Sarah Stickney Ellis, </w:t>
      </w:r>
      <w:r w:rsidR="003C1A07" w:rsidRPr="00A54A54">
        <w:rPr>
          <w:i/>
          <w:iCs/>
        </w:rPr>
        <w:t>The Daughters of England</w:t>
      </w:r>
      <w:r w:rsidR="003C1A07" w:rsidRPr="00A54A54">
        <w:t xml:space="preserve"> (1842)</w:t>
      </w:r>
    </w:p>
    <w:p w14:paraId="358115A2" w14:textId="5BAF2B44" w:rsidR="005E5C1E" w:rsidRPr="00A54A54" w:rsidRDefault="00537389" w:rsidP="003C1A07">
      <w:pPr>
        <w:pStyle w:val="ListParagraph"/>
        <w:numPr>
          <w:ilvl w:val="0"/>
          <w:numId w:val="11"/>
        </w:numPr>
        <w:rPr>
          <w:b/>
          <w:bCs/>
        </w:rPr>
      </w:pPr>
      <w:r w:rsidRPr="00A54A54">
        <w:t xml:space="preserve">Sojourner Truth, excerpts from </w:t>
      </w:r>
      <w:r w:rsidRPr="00A54A54">
        <w:rPr>
          <w:i/>
          <w:iCs/>
        </w:rPr>
        <w:t>The Narrative of Sojourner Truth</w:t>
      </w:r>
      <w:r w:rsidRPr="00A54A54">
        <w:t xml:space="preserve"> (1850); listen to one of the readings of “Ain’t I </w:t>
      </w:r>
      <w:r w:rsidR="00626646" w:rsidRPr="00A54A54">
        <w:t>A</w:t>
      </w:r>
      <w:r w:rsidRPr="00A54A54">
        <w:t xml:space="preserve"> Woman?” at https://www.thesojournertruthproject.com/the-readings</w:t>
      </w:r>
    </w:p>
    <w:p w14:paraId="0CFC6A32" w14:textId="77777777" w:rsidR="00D1123F" w:rsidRPr="00A54A54" w:rsidRDefault="00D1123F" w:rsidP="00D1123F">
      <w:pPr>
        <w:pStyle w:val="ListParagraph"/>
        <w:numPr>
          <w:ilvl w:val="0"/>
          <w:numId w:val="11"/>
        </w:numPr>
      </w:pPr>
      <w:r w:rsidRPr="00A54A54">
        <w:t xml:space="preserve">Barbara Leigh Smith Bodichon, excerpts from </w:t>
      </w:r>
      <w:r w:rsidRPr="00A54A54">
        <w:rPr>
          <w:i/>
          <w:iCs/>
        </w:rPr>
        <w:t>Women and Work</w:t>
      </w:r>
      <w:r w:rsidRPr="00A54A54">
        <w:t xml:space="preserve"> (1857) </w:t>
      </w:r>
    </w:p>
    <w:p w14:paraId="4A82AB06" w14:textId="77777777" w:rsidR="00D1123F" w:rsidRPr="00A54A54" w:rsidRDefault="00D1123F" w:rsidP="00D1123F">
      <w:pPr>
        <w:pStyle w:val="ListParagraph"/>
        <w:numPr>
          <w:ilvl w:val="0"/>
          <w:numId w:val="11"/>
        </w:numPr>
      </w:pPr>
      <w:r w:rsidRPr="00A54A54">
        <w:t>Eliza Lynn Linton, “The Wild Women as Social Insurgents” (1891)</w:t>
      </w:r>
    </w:p>
    <w:p w14:paraId="14013289" w14:textId="4112D0FD" w:rsidR="00D1123F" w:rsidRPr="00A54A54" w:rsidRDefault="00D1123F" w:rsidP="00D1123F">
      <w:pPr>
        <w:pStyle w:val="ListParagraph"/>
        <w:numPr>
          <w:ilvl w:val="0"/>
          <w:numId w:val="11"/>
        </w:numPr>
        <w:rPr>
          <w:b/>
          <w:bCs/>
        </w:rPr>
      </w:pPr>
      <w:r w:rsidRPr="00A54A54">
        <w:t xml:space="preserve">Suggested secondary reading: </w:t>
      </w:r>
      <w:r w:rsidR="00693613" w:rsidRPr="00A54A54">
        <w:t xml:space="preserve">Xiomara Santamarina, </w:t>
      </w:r>
      <w:r w:rsidR="00AD16D7" w:rsidRPr="00A54A54">
        <w:t>preface to</w:t>
      </w:r>
      <w:r w:rsidR="00693613" w:rsidRPr="00A54A54">
        <w:t xml:space="preserve"> </w:t>
      </w:r>
      <w:r w:rsidR="00693613" w:rsidRPr="00A54A54">
        <w:rPr>
          <w:i/>
          <w:iCs/>
        </w:rPr>
        <w:t>Belabored Professions: Narratives of African American Working Womanhood</w:t>
      </w:r>
      <w:r w:rsidR="00693613" w:rsidRPr="00A54A54">
        <w:t xml:space="preserve"> (2005)</w:t>
      </w:r>
      <w:r w:rsidR="00487FAD">
        <w:t xml:space="preserve"> and Poulomi Saha, excerpts from </w:t>
      </w:r>
      <w:r w:rsidR="00487FAD" w:rsidRPr="5322029A">
        <w:rPr>
          <w:i/>
          <w:iCs/>
        </w:rPr>
        <w:t>An Empire of Touch: Women’s Political Labor and the Fabrication of East Bengal</w:t>
      </w:r>
      <w:r w:rsidR="00487FAD">
        <w:t xml:space="preserve"> (2019)</w:t>
      </w:r>
    </w:p>
    <w:p w14:paraId="0407FF55" w14:textId="77777777" w:rsidR="003C1A07" w:rsidRPr="00A54A54" w:rsidRDefault="003C1A07" w:rsidP="003C1A07">
      <w:pPr>
        <w:rPr>
          <w:b/>
          <w:bCs/>
        </w:rPr>
      </w:pPr>
    </w:p>
    <w:p w14:paraId="2AF44215" w14:textId="24988A57" w:rsidR="00FC1184" w:rsidRPr="00A54A54" w:rsidRDefault="003C1A07" w:rsidP="003A4A1D">
      <w:pPr>
        <w:spacing w:before="120"/>
        <w:rPr>
          <w:b/>
          <w:bCs/>
        </w:rPr>
      </w:pPr>
      <w:r w:rsidRPr="00A54A54">
        <w:rPr>
          <w:b/>
          <w:bCs/>
        </w:rPr>
        <w:t xml:space="preserve">Week 6: </w:t>
      </w:r>
      <w:r w:rsidR="00FC1184" w:rsidRPr="00A54A54">
        <w:rPr>
          <w:b/>
          <w:bCs/>
        </w:rPr>
        <w:t>Labor</w:t>
      </w:r>
      <w:r w:rsidR="00A62474" w:rsidRPr="00A54A54">
        <w:rPr>
          <w:b/>
          <w:bCs/>
        </w:rPr>
        <w:t>, Art,</w:t>
      </w:r>
      <w:r w:rsidR="00FC1184" w:rsidRPr="00A54A54">
        <w:rPr>
          <w:b/>
          <w:bCs/>
        </w:rPr>
        <w:t xml:space="preserve"> and the Political Poetess </w:t>
      </w:r>
    </w:p>
    <w:p w14:paraId="1861EF46" w14:textId="6A8B8F68" w:rsidR="00FC1184" w:rsidRPr="00A54A54" w:rsidRDefault="00FC1184" w:rsidP="003C1A07">
      <w:pPr>
        <w:rPr>
          <w:b/>
          <w:bCs/>
        </w:rPr>
      </w:pPr>
    </w:p>
    <w:p w14:paraId="24BD38EB" w14:textId="77777777" w:rsidR="00FC1184" w:rsidRPr="00A54A54" w:rsidRDefault="00FC1184" w:rsidP="00FC1184">
      <w:pPr>
        <w:pStyle w:val="ListParagraph"/>
        <w:numPr>
          <w:ilvl w:val="0"/>
          <w:numId w:val="12"/>
        </w:numPr>
      </w:pPr>
      <w:r w:rsidRPr="00A54A54">
        <w:t xml:space="preserve">Charlotte Brontë, </w:t>
      </w:r>
      <w:r w:rsidRPr="00A54A54">
        <w:rPr>
          <w:i/>
          <w:iCs/>
        </w:rPr>
        <w:t>Jane Eyre</w:t>
      </w:r>
      <w:r w:rsidRPr="00A54A54">
        <w:t xml:space="preserve">, ch. XIV-XV </w:t>
      </w:r>
    </w:p>
    <w:p w14:paraId="2F919A46" w14:textId="77777777" w:rsidR="00FC1184" w:rsidRPr="00A54A54" w:rsidRDefault="00FC1184" w:rsidP="00FC1184">
      <w:pPr>
        <w:pStyle w:val="ListParagraph"/>
        <w:numPr>
          <w:ilvl w:val="0"/>
          <w:numId w:val="12"/>
        </w:numPr>
      </w:pPr>
      <w:r w:rsidRPr="00A54A54">
        <w:t>L.E.L., “The Factory” (1835)</w:t>
      </w:r>
    </w:p>
    <w:p w14:paraId="7FD84226" w14:textId="77777777" w:rsidR="00FC1184" w:rsidRPr="00A54A54" w:rsidRDefault="00FC1184" w:rsidP="00FC1184">
      <w:pPr>
        <w:pStyle w:val="ListParagraph"/>
        <w:numPr>
          <w:ilvl w:val="0"/>
          <w:numId w:val="12"/>
        </w:numPr>
      </w:pPr>
      <w:r w:rsidRPr="00A54A54">
        <w:t>Elizabeth Barrett Browning, “The Cry of the Children” (1843)</w:t>
      </w:r>
    </w:p>
    <w:p w14:paraId="266E9A07" w14:textId="70EADE17" w:rsidR="00FC1184" w:rsidRPr="00A54A54" w:rsidRDefault="00FC1184" w:rsidP="00FC1184">
      <w:pPr>
        <w:pStyle w:val="ListParagraph"/>
        <w:numPr>
          <w:ilvl w:val="0"/>
          <w:numId w:val="12"/>
        </w:numPr>
      </w:pPr>
      <w:r w:rsidRPr="00A54A54">
        <w:t>Eliza Cook, “A Song for the Workers” and “A Song to ‘the People of England’” (c. 1845)</w:t>
      </w:r>
    </w:p>
    <w:p w14:paraId="41196104" w14:textId="488E139B" w:rsidR="00FC1184" w:rsidRPr="00A54A54" w:rsidRDefault="008F3F0C" w:rsidP="00B53C4F">
      <w:pPr>
        <w:pStyle w:val="ListParagraph"/>
        <w:numPr>
          <w:ilvl w:val="0"/>
          <w:numId w:val="12"/>
        </w:numPr>
      </w:pPr>
      <w:r w:rsidRPr="00A54A54">
        <w:rPr>
          <w:color w:val="000000" w:themeColor="text1"/>
        </w:rPr>
        <w:t>Janet Hamilton</w:t>
      </w:r>
      <w:r w:rsidR="005638C9" w:rsidRPr="00A54A54">
        <w:rPr>
          <w:color w:val="000000" w:themeColor="text1"/>
        </w:rPr>
        <w:t>, “The Uses and Pleasures of Poetry to the Working Classes” (1850)</w:t>
      </w:r>
      <w:r w:rsidR="00443716" w:rsidRPr="00A54A54">
        <w:rPr>
          <w:color w:val="000000" w:themeColor="text1"/>
        </w:rPr>
        <w:t>; “The Peer and the Pauper” (1870)</w:t>
      </w:r>
    </w:p>
    <w:p w14:paraId="26CD9C76" w14:textId="44D26C4E" w:rsidR="00FC1184" w:rsidRPr="00253F9D" w:rsidRDefault="00F2783D" w:rsidP="5322029A">
      <w:pPr>
        <w:pStyle w:val="ListParagraph"/>
        <w:numPr>
          <w:ilvl w:val="0"/>
          <w:numId w:val="12"/>
        </w:numPr>
        <w:rPr>
          <w:rFonts w:eastAsia="Garamond" w:cs="Garamond"/>
        </w:rPr>
      </w:pPr>
      <w:r>
        <w:t>Suggested secondary reading:</w:t>
      </w:r>
      <w:r w:rsidR="004208E1">
        <w:t xml:space="preserve"> Kirstie Blair, “Dialect, Region, Class, Work” (2019</w:t>
      </w:r>
      <w:r w:rsidR="5DF9025C">
        <w:t xml:space="preserve">) </w:t>
      </w:r>
      <w:r w:rsidR="00244E10">
        <w:t xml:space="preserve">and </w:t>
      </w:r>
      <w:r w:rsidR="00244E10" w:rsidRPr="00A54A54">
        <w:t xml:space="preserve">Tricia Lootens, excerpts from </w:t>
      </w:r>
      <w:r w:rsidR="00244E10" w:rsidRPr="00A54A54">
        <w:rPr>
          <w:i/>
          <w:iCs/>
        </w:rPr>
        <w:t>The Political Poetess</w:t>
      </w:r>
      <w:r w:rsidR="00244E10">
        <w:rPr>
          <w:i/>
          <w:iCs/>
        </w:rPr>
        <w:t xml:space="preserve">: </w:t>
      </w:r>
      <w:r w:rsidR="00244E10" w:rsidRPr="0072333E">
        <w:rPr>
          <w:i/>
          <w:iCs/>
        </w:rPr>
        <w:t>Victorian Femininity, Race, and the Legacy of Separate Spheres</w:t>
      </w:r>
      <w:r w:rsidR="00244E10" w:rsidRPr="00A54A54">
        <w:t xml:space="preserve"> (2016)</w:t>
      </w:r>
    </w:p>
    <w:p w14:paraId="070971FC" w14:textId="106684ED" w:rsidR="00FC1184" w:rsidRPr="00A54A54" w:rsidRDefault="00FC1184" w:rsidP="003C1A07">
      <w:pPr>
        <w:rPr>
          <w:b/>
          <w:bCs/>
        </w:rPr>
      </w:pPr>
    </w:p>
    <w:p w14:paraId="32543568" w14:textId="77777777" w:rsidR="007D34CA" w:rsidRDefault="007D34CA">
      <w:pPr>
        <w:rPr>
          <w:b/>
          <w:bCs/>
        </w:rPr>
      </w:pPr>
      <w:r>
        <w:rPr>
          <w:b/>
          <w:bCs/>
        </w:rPr>
        <w:br w:type="page"/>
      </w:r>
    </w:p>
    <w:p w14:paraId="2EF3F838" w14:textId="00C57633" w:rsidR="00FC1184" w:rsidRPr="00A54A54" w:rsidRDefault="00FC1184" w:rsidP="003A4A1D">
      <w:pPr>
        <w:spacing w:before="120"/>
        <w:rPr>
          <w:b/>
          <w:bCs/>
        </w:rPr>
      </w:pPr>
      <w:r w:rsidRPr="00A54A54">
        <w:rPr>
          <w:b/>
          <w:bCs/>
        </w:rPr>
        <w:lastRenderedPageBreak/>
        <w:t>Week 7: Fallen Women</w:t>
      </w:r>
      <w:r w:rsidR="00B53C4F" w:rsidRPr="00A54A54">
        <w:rPr>
          <w:b/>
          <w:bCs/>
        </w:rPr>
        <w:t>, Elevated Women</w:t>
      </w:r>
    </w:p>
    <w:p w14:paraId="608654E8" w14:textId="77777777" w:rsidR="00FC1184" w:rsidRPr="00A54A54" w:rsidRDefault="00FC1184" w:rsidP="00FC1184"/>
    <w:p w14:paraId="1C743CF2" w14:textId="77777777" w:rsidR="00FC1184" w:rsidRPr="00A54A54" w:rsidRDefault="00FC1184" w:rsidP="00FC1184">
      <w:pPr>
        <w:pStyle w:val="ListParagraph"/>
        <w:numPr>
          <w:ilvl w:val="0"/>
          <w:numId w:val="10"/>
        </w:numPr>
      </w:pPr>
      <w:r w:rsidRPr="00A54A54">
        <w:t xml:space="preserve">Charlotte Brontë, </w:t>
      </w:r>
      <w:r w:rsidRPr="00A54A54">
        <w:rPr>
          <w:i/>
          <w:iCs/>
        </w:rPr>
        <w:t>Jane Eyre</w:t>
      </w:r>
      <w:r w:rsidRPr="00A54A54">
        <w:t xml:space="preserve">, ch. XVI-XVII </w:t>
      </w:r>
    </w:p>
    <w:p w14:paraId="48062A4D" w14:textId="0D92FF93" w:rsidR="00FC1184" w:rsidRPr="00A54A54" w:rsidRDefault="00FC1184" w:rsidP="003C1A07">
      <w:pPr>
        <w:pStyle w:val="ListParagraph"/>
        <w:numPr>
          <w:ilvl w:val="0"/>
          <w:numId w:val="10"/>
        </w:numPr>
      </w:pPr>
      <w:r w:rsidRPr="00A54A54">
        <w:t>Christina Rossetti, “Goblin Market” (1862), “A Soul” (1854), “In an Artist’s Studio (1856), “L.E.L.” (1866)</w:t>
      </w:r>
    </w:p>
    <w:p w14:paraId="0D631A6F" w14:textId="7D021726" w:rsidR="00B53C4F" w:rsidRPr="00A54A54" w:rsidRDefault="00B53C4F" w:rsidP="00B53C4F">
      <w:pPr>
        <w:pStyle w:val="ListParagraph"/>
        <w:numPr>
          <w:ilvl w:val="0"/>
          <w:numId w:val="10"/>
        </w:numPr>
      </w:pPr>
      <w:r w:rsidRPr="00A54A54">
        <w:rPr>
          <w:color w:val="000000" w:themeColor="text1"/>
        </w:rPr>
        <w:t>L.E.L., “Lines of Life” (1829), “To the Queen” (1838)</w:t>
      </w:r>
    </w:p>
    <w:p w14:paraId="07169E1A" w14:textId="2EDB7964" w:rsidR="00FC1184" w:rsidRPr="00A54A54" w:rsidRDefault="00B53C4F" w:rsidP="003C1A07">
      <w:pPr>
        <w:pStyle w:val="ListParagraph"/>
        <w:numPr>
          <w:ilvl w:val="0"/>
          <w:numId w:val="10"/>
        </w:numPr>
      </w:pPr>
      <w:r w:rsidRPr="00A54A54">
        <w:rPr>
          <w:color w:val="000000" w:themeColor="text1"/>
        </w:rPr>
        <w:t>Elizabeth Barrett Browning, “L.E.L’s Last Question” (1839)</w:t>
      </w:r>
    </w:p>
    <w:p w14:paraId="34CCB584" w14:textId="056E060F" w:rsidR="009A0CEA" w:rsidRPr="00A54A54" w:rsidRDefault="009A0CEA" w:rsidP="009A0CEA">
      <w:pPr>
        <w:pStyle w:val="ListParagraph"/>
        <w:numPr>
          <w:ilvl w:val="0"/>
          <w:numId w:val="10"/>
        </w:numPr>
      </w:pPr>
      <w:r w:rsidRPr="00A54A54">
        <w:t>Emma Lazarus, “The New Colossus” (1883), “Venus of the Louvre” (1895)</w:t>
      </w:r>
    </w:p>
    <w:p w14:paraId="274C6D58" w14:textId="564FB383" w:rsidR="00B72BC7" w:rsidRDefault="00B72BC7" w:rsidP="003C1A07">
      <w:pPr>
        <w:pStyle w:val="ListParagraph"/>
        <w:numPr>
          <w:ilvl w:val="0"/>
          <w:numId w:val="10"/>
        </w:numPr>
      </w:pPr>
      <w:r w:rsidRPr="00A54A54">
        <w:t>Suggested secondary reading:</w:t>
      </w:r>
      <w:r w:rsidR="003C272B" w:rsidRPr="00A54A54">
        <w:t xml:space="preserve"> Victor Roman Mendoza, “‘Come Buy’: The Crossing of Sexual and Consumer Desire in Christina Rossetti’s ‘Goblin Market’” (2006)</w:t>
      </w:r>
    </w:p>
    <w:p w14:paraId="4AA6898C" w14:textId="57E873A9" w:rsidR="00253F9D" w:rsidRDefault="00253F9D" w:rsidP="00253F9D"/>
    <w:p w14:paraId="0BA9FE21" w14:textId="460FE10A" w:rsidR="00253F9D" w:rsidRPr="00FC58E9" w:rsidRDefault="00253F9D" w:rsidP="00253F9D">
      <w:pPr>
        <w:rPr>
          <w:i/>
          <w:iCs/>
        </w:rPr>
      </w:pPr>
      <w:r w:rsidRPr="00A54A54">
        <w:rPr>
          <w:i/>
          <w:iCs/>
        </w:rPr>
        <w:t xml:space="preserve">Note: </w:t>
      </w:r>
      <w:r w:rsidR="00FC58E9" w:rsidRPr="00FC58E9">
        <w:rPr>
          <w:i/>
          <w:iCs/>
        </w:rPr>
        <w:t>We move into a new unit on conduct, class, and labor as Jane Eyre encounters models of feminine virtue like Helen Burns and Miss Temple and assumes her position as governess of Thornfield, enabling attention to the era’s newly gendered economi</w:t>
      </w:r>
      <w:r w:rsidR="00D342DE">
        <w:rPr>
          <w:i/>
          <w:iCs/>
        </w:rPr>
        <w:t>e</w:t>
      </w:r>
      <w:r w:rsidR="00FC58E9" w:rsidRPr="00FC58E9">
        <w:rPr>
          <w:i/>
          <w:iCs/>
        </w:rPr>
        <w:t xml:space="preserve">s and increased female professionalization. </w:t>
      </w:r>
      <w:r w:rsidR="0006229F">
        <w:rPr>
          <w:i/>
          <w:iCs/>
        </w:rPr>
        <w:t>T</w:t>
      </w:r>
      <w:r w:rsidR="00FC58E9" w:rsidRPr="00FC58E9">
        <w:rPr>
          <w:i/>
          <w:iCs/>
        </w:rPr>
        <w:t xml:space="preserve">he previous unit’s </w:t>
      </w:r>
      <w:r w:rsidR="001E5732">
        <w:rPr>
          <w:i/>
          <w:iCs/>
        </w:rPr>
        <w:t xml:space="preserve">concluding </w:t>
      </w:r>
      <w:r w:rsidR="00FC58E9" w:rsidRPr="00FC58E9">
        <w:rPr>
          <w:i/>
          <w:iCs/>
        </w:rPr>
        <w:t xml:space="preserve">focus </w:t>
      </w:r>
      <w:r w:rsidR="0006229F">
        <w:rPr>
          <w:i/>
          <w:iCs/>
        </w:rPr>
        <w:t xml:space="preserve">facilitates attention to </w:t>
      </w:r>
      <w:r w:rsidR="00FC58E9" w:rsidRPr="00FC58E9">
        <w:rPr>
          <w:i/>
          <w:iCs/>
        </w:rPr>
        <w:t>the rhetoric of slavery that, as Julia Sun-Joo Lee has noted, pervade</w:t>
      </w:r>
      <w:r w:rsidR="00E20A93">
        <w:rPr>
          <w:i/>
          <w:iCs/>
        </w:rPr>
        <w:t>s the novel</w:t>
      </w:r>
      <w:r w:rsidR="00FC58E9" w:rsidRPr="00FC58E9">
        <w:rPr>
          <w:i/>
          <w:iCs/>
        </w:rPr>
        <w:t>, and sets up ensuing study of the poetry of British factory labor, with its conspicuous importation of tropes of enslavement.</w:t>
      </w:r>
      <w:r w:rsidR="00FC58E9">
        <w:rPr>
          <w:i/>
          <w:iCs/>
        </w:rPr>
        <w:t xml:space="preserve"> </w:t>
      </w:r>
      <w:r w:rsidR="0096421C">
        <w:rPr>
          <w:i/>
          <w:iCs/>
        </w:rPr>
        <w:t>Our study of</w:t>
      </w:r>
      <w:r w:rsidRPr="00A54A54">
        <w:rPr>
          <w:i/>
          <w:iCs/>
        </w:rPr>
        <w:t xml:space="preserve"> nineteenth-century Anglo-American gendered socialization norms</w:t>
      </w:r>
      <w:r w:rsidR="0096421C">
        <w:rPr>
          <w:i/>
          <w:iCs/>
        </w:rPr>
        <w:t xml:space="preserve"> is advanced i</w:t>
      </w:r>
      <w:r w:rsidRPr="00A54A54">
        <w:rPr>
          <w:i/>
          <w:iCs/>
        </w:rPr>
        <w:t>n presentations and an associated essay</w:t>
      </w:r>
      <w:r w:rsidR="00A13D36">
        <w:rPr>
          <w:i/>
          <w:iCs/>
        </w:rPr>
        <w:t xml:space="preserve"> in which</w:t>
      </w:r>
      <w:r w:rsidRPr="00A54A54">
        <w:rPr>
          <w:i/>
          <w:iCs/>
        </w:rPr>
        <w:t xml:space="preserve"> students use one of </w:t>
      </w:r>
      <w:r w:rsidR="00A76F96">
        <w:rPr>
          <w:i/>
          <w:iCs/>
        </w:rPr>
        <w:t xml:space="preserve">Sarah Stickney </w:t>
      </w:r>
      <w:r w:rsidRPr="00A54A54">
        <w:rPr>
          <w:i/>
          <w:iCs/>
        </w:rPr>
        <w:t>Ellis’s popular Victorian conduct guides</w:t>
      </w:r>
      <w:r w:rsidR="00710350">
        <w:rPr>
          <w:i/>
          <w:iCs/>
        </w:rPr>
        <w:t>—</w:t>
      </w:r>
      <w:r w:rsidRPr="00A54A54">
        <w:rPr>
          <w:i/>
          <w:iCs/>
        </w:rPr>
        <w:t>marketed specifically to readers around their age</w:t>
      </w:r>
      <w:r w:rsidR="00710350">
        <w:rPr>
          <w:i/>
          <w:iCs/>
        </w:rPr>
        <w:t>—</w:t>
      </w:r>
      <w:r w:rsidRPr="00A54A54">
        <w:rPr>
          <w:i/>
          <w:iCs/>
        </w:rPr>
        <w:t>to identify behavioral conventions</w:t>
      </w:r>
      <w:r w:rsidR="0050002E">
        <w:rPr>
          <w:i/>
          <w:iCs/>
        </w:rPr>
        <w:t>. To this end, they work</w:t>
      </w:r>
      <w:r w:rsidR="006803B6">
        <w:rPr>
          <w:i/>
          <w:iCs/>
        </w:rPr>
        <w:t xml:space="preserve"> collaboratively to crowd-source their </w:t>
      </w:r>
      <w:r w:rsidR="0073141D">
        <w:rPr>
          <w:i/>
          <w:iCs/>
        </w:rPr>
        <w:t>understanding</w:t>
      </w:r>
      <w:r w:rsidR="006803B6">
        <w:rPr>
          <w:i/>
          <w:iCs/>
        </w:rPr>
        <w:t xml:space="preserve"> of these norms by each adopting one chapter of her guide to </w:t>
      </w:r>
      <w:r w:rsidR="00DE12F2">
        <w:rPr>
          <w:i/>
          <w:iCs/>
        </w:rPr>
        <w:t>analyze</w:t>
      </w:r>
      <w:r w:rsidR="006803B6">
        <w:rPr>
          <w:i/>
          <w:iCs/>
        </w:rPr>
        <w:t xml:space="preserve"> and present</w:t>
      </w:r>
      <w:r w:rsidR="004539BD">
        <w:rPr>
          <w:i/>
          <w:iCs/>
        </w:rPr>
        <w:t xml:space="preserve"> (supplemented by Susan Fraiman’s account of Ellis in relation to </w:t>
      </w:r>
      <w:r w:rsidR="00966D43">
        <w:rPr>
          <w:i/>
          <w:iCs/>
        </w:rPr>
        <w:t>Victorian</w:t>
      </w:r>
      <w:r w:rsidR="004539BD">
        <w:rPr>
          <w:i/>
          <w:iCs/>
        </w:rPr>
        <w:t xml:space="preserve"> literary culture)</w:t>
      </w:r>
      <w:r w:rsidRPr="00A54A54">
        <w:rPr>
          <w:i/>
          <w:iCs/>
        </w:rPr>
        <w:t xml:space="preserve">. In the following session, we </w:t>
      </w:r>
      <w:r w:rsidR="0078769C">
        <w:rPr>
          <w:i/>
          <w:iCs/>
        </w:rPr>
        <w:t>discuss</w:t>
      </w:r>
      <w:r w:rsidRPr="00A54A54">
        <w:rPr>
          <w:i/>
          <w:iCs/>
        </w:rPr>
        <w:t xml:space="preserve"> how </w:t>
      </w:r>
      <w:r w:rsidR="00150F7C">
        <w:rPr>
          <w:i/>
          <w:iCs/>
        </w:rPr>
        <w:t xml:space="preserve">Emily </w:t>
      </w:r>
      <w:r w:rsidRPr="00A54A54">
        <w:rPr>
          <w:i/>
          <w:iCs/>
        </w:rPr>
        <w:t>Dickinson responds to and subverts such ideals through her themes</w:t>
      </w:r>
      <w:r w:rsidR="00C35DF1">
        <w:rPr>
          <w:i/>
          <w:iCs/>
        </w:rPr>
        <w:t>, ways of life,</w:t>
      </w:r>
      <w:r w:rsidRPr="00A54A54">
        <w:rPr>
          <w:i/>
          <w:iCs/>
        </w:rPr>
        <w:t xml:space="preserve"> and uses of form</w:t>
      </w:r>
      <w:r>
        <w:rPr>
          <w:i/>
          <w:iCs/>
        </w:rPr>
        <w:t xml:space="preserve">. </w:t>
      </w:r>
      <w:r w:rsidRPr="00A54A54">
        <w:rPr>
          <w:i/>
          <w:iCs/>
        </w:rPr>
        <w:t>In Week</w:t>
      </w:r>
      <w:r w:rsidR="003F69D0">
        <w:rPr>
          <w:i/>
          <w:iCs/>
        </w:rPr>
        <w:t>s 5 and</w:t>
      </w:r>
      <w:r w:rsidRPr="00A54A54">
        <w:rPr>
          <w:i/>
          <w:iCs/>
        </w:rPr>
        <w:t xml:space="preserve"> </w:t>
      </w:r>
      <w:r w:rsidR="002A022A">
        <w:rPr>
          <w:i/>
          <w:iCs/>
        </w:rPr>
        <w:t>6</w:t>
      </w:r>
      <w:r w:rsidRPr="00A54A54">
        <w:rPr>
          <w:i/>
          <w:iCs/>
        </w:rPr>
        <w:t xml:space="preserve">, we </w:t>
      </w:r>
      <w:r w:rsidR="009516CA">
        <w:rPr>
          <w:i/>
          <w:iCs/>
        </w:rPr>
        <w:t>ask how</w:t>
      </w:r>
      <w:r w:rsidR="00CD61BA">
        <w:rPr>
          <w:i/>
          <w:iCs/>
        </w:rPr>
        <w:t xml:space="preserve"> “women’s work” </w:t>
      </w:r>
      <w:r w:rsidR="009516CA">
        <w:rPr>
          <w:i/>
          <w:iCs/>
        </w:rPr>
        <w:t xml:space="preserve">came to be defined </w:t>
      </w:r>
      <w:r w:rsidR="00CD61BA">
        <w:rPr>
          <w:i/>
          <w:iCs/>
        </w:rPr>
        <w:t>throughout the nineteenth century</w:t>
      </w:r>
      <w:r w:rsidR="009516CA">
        <w:rPr>
          <w:i/>
          <w:iCs/>
        </w:rPr>
        <w:t xml:space="preserve"> in sometimes predictable and sometimes surprising ways—exploring, for instance, how enduring associations of women with </w:t>
      </w:r>
      <w:r w:rsidR="00826CC4">
        <w:rPr>
          <w:i/>
          <w:iCs/>
        </w:rPr>
        <w:t xml:space="preserve">domestic </w:t>
      </w:r>
      <w:r w:rsidR="0035222F">
        <w:rPr>
          <w:i/>
          <w:iCs/>
        </w:rPr>
        <w:t>needlework</w:t>
      </w:r>
      <w:r w:rsidR="009516CA">
        <w:rPr>
          <w:i/>
          <w:iCs/>
        </w:rPr>
        <w:t xml:space="preserve"> transformed as textile production </w:t>
      </w:r>
      <w:r w:rsidR="00F03DAC">
        <w:rPr>
          <w:i/>
          <w:iCs/>
        </w:rPr>
        <w:t xml:space="preserve">industrialized </w:t>
      </w:r>
      <w:r w:rsidR="00826CC4">
        <w:rPr>
          <w:i/>
          <w:iCs/>
        </w:rPr>
        <w:t>into</w:t>
      </w:r>
      <w:r w:rsidR="009516CA">
        <w:rPr>
          <w:i/>
          <w:iCs/>
        </w:rPr>
        <w:t xml:space="preserve"> factor</w:t>
      </w:r>
      <w:r w:rsidR="00F03DAC">
        <w:rPr>
          <w:i/>
          <w:iCs/>
        </w:rPr>
        <w:t>y labor</w:t>
      </w:r>
      <w:r w:rsidR="009516CA">
        <w:rPr>
          <w:i/>
          <w:iCs/>
        </w:rPr>
        <w:t xml:space="preserve">, or how female </w:t>
      </w:r>
      <w:r w:rsidR="00731F46">
        <w:rPr>
          <w:i/>
          <w:iCs/>
        </w:rPr>
        <w:t>writers</w:t>
      </w:r>
      <w:r w:rsidR="009516CA">
        <w:rPr>
          <w:i/>
          <w:iCs/>
        </w:rPr>
        <w:t xml:space="preserve"> responded to Nathaniel Hawthorne’s famous </w:t>
      </w:r>
      <w:r w:rsidR="00731F46">
        <w:rPr>
          <w:i/>
          <w:iCs/>
        </w:rPr>
        <w:t>dismissal</w:t>
      </w:r>
      <w:r w:rsidR="009516CA">
        <w:rPr>
          <w:i/>
          <w:iCs/>
        </w:rPr>
        <w:t xml:space="preserve"> of </w:t>
      </w:r>
      <w:r w:rsidR="00731F46">
        <w:rPr>
          <w:i/>
          <w:iCs/>
        </w:rPr>
        <w:t xml:space="preserve">the </w:t>
      </w:r>
      <w:r w:rsidR="009516CA">
        <w:rPr>
          <w:i/>
          <w:iCs/>
        </w:rPr>
        <w:t>“damned mob of scribbling wome</w:t>
      </w:r>
      <w:r w:rsidR="00781735">
        <w:rPr>
          <w:i/>
          <w:iCs/>
        </w:rPr>
        <w:t>n</w:t>
      </w:r>
      <w:r w:rsidR="009516CA">
        <w:rPr>
          <w:i/>
          <w:iCs/>
        </w:rPr>
        <w:t>”</w:t>
      </w:r>
      <w:r w:rsidR="00781735">
        <w:rPr>
          <w:i/>
          <w:iCs/>
        </w:rPr>
        <w:t xml:space="preserve"> that took literary culture by storm.</w:t>
      </w:r>
      <w:r w:rsidRPr="00A54A54">
        <w:rPr>
          <w:i/>
          <w:iCs/>
        </w:rPr>
        <w:t xml:space="preserve"> </w:t>
      </w:r>
      <w:r w:rsidR="008E0B87" w:rsidRPr="00A54A54">
        <w:rPr>
          <w:i/>
          <w:iCs/>
        </w:rPr>
        <w:t>Week</w:t>
      </w:r>
      <w:r w:rsidR="00266C4C">
        <w:rPr>
          <w:i/>
          <w:iCs/>
        </w:rPr>
        <w:t xml:space="preserve"> 7</w:t>
      </w:r>
      <w:r w:rsidR="008E0B87" w:rsidRPr="00A54A54">
        <w:rPr>
          <w:i/>
          <w:iCs/>
        </w:rPr>
        <w:t xml:space="preserve"> </w:t>
      </w:r>
      <w:r w:rsidR="00F511DD">
        <w:rPr>
          <w:i/>
          <w:iCs/>
        </w:rPr>
        <w:t xml:space="preserve">returns to </w:t>
      </w:r>
      <w:r w:rsidR="005105D3">
        <w:rPr>
          <w:i/>
          <w:iCs/>
        </w:rPr>
        <w:t>behavioral norms and their</w:t>
      </w:r>
      <w:r w:rsidR="00F511DD">
        <w:rPr>
          <w:i/>
          <w:iCs/>
        </w:rPr>
        <w:t xml:space="preserve"> intersections with sex work </w:t>
      </w:r>
      <w:r w:rsidR="007D2355">
        <w:rPr>
          <w:i/>
          <w:iCs/>
        </w:rPr>
        <w:t>through</w:t>
      </w:r>
      <w:r w:rsidR="008E0B87" w:rsidRPr="00A54A54">
        <w:rPr>
          <w:i/>
          <w:iCs/>
        </w:rPr>
        <w:t xml:space="preserve"> the lapsarian narratives </w:t>
      </w:r>
      <w:r w:rsidR="0017546E">
        <w:rPr>
          <w:i/>
          <w:iCs/>
        </w:rPr>
        <w:t xml:space="preserve">and </w:t>
      </w:r>
      <w:r w:rsidR="006760C3">
        <w:rPr>
          <w:i/>
          <w:iCs/>
        </w:rPr>
        <w:t xml:space="preserve">visual </w:t>
      </w:r>
      <w:r w:rsidR="0017546E">
        <w:rPr>
          <w:i/>
          <w:iCs/>
        </w:rPr>
        <w:t xml:space="preserve">imagery </w:t>
      </w:r>
      <w:r w:rsidR="008E0B87" w:rsidRPr="00A54A54">
        <w:rPr>
          <w:i/>
          <w:iCs/>
        </w:rPr>
        <w:t>of fallen women</w:t>
      </w:r>
      <w:r w:rsidR="0017546E">
        <w:rPr>
          <w:i/>
          <w:iCs/>
        </w:rPr>
        <w:t xml:space="preserve">, </w:t>
      </w:r>
      <w:r w:rsidR="002A2797">
        <w:rPr>
          <w:i/>
          <w:iCs/>
        </w:rPr>
        <w:t>and to</w:t>
      </w:r>
      <w:r w:rsidR="00952808">
        <w:rPr>
          <w:i/>
          <w:iCs/>
        </w:rPr>
        <w:t xml:space="preserve"> </w:t>
      </w:r>
      <w:r w:rsidR="002A2797">
        <w:rPr>
          <w:i/>
          <w:iCs/>
        </w:rPr>
        <w:t>th</w:t>
      </w:r>
      <w:r w:rsidR="005239C6">
        <w:rPr>
          <w:i/>
          <w:iCs/>
        </w:rPr>
        <w:t>e</w:t>
      </w:r>
      <w:r w:rsidR="002A2797">
        <w:rPr>
          <w:i/>
          <w:iCs/>
        </w:rPr>
        <w:t xml:space="preserve"> figure’s</w:t>
      </w:r>
      <w:r w:rsidR="0017546E">
        <w:rPr>
          <w:i/>
          <w:iCs/>
        </w:rPr>
        <w:t xml:space="preserve"> </w:t>
      </w:r>
      <w:r w:rsidR="00F848D0">
        <w:rPr>
          <w:i/>
          <w:iCs/>
        </w:rPr>
        <w:t>inversion</w:t>
      </w:r>
      <w:r w:rsidR="0017546E">
        <w:rPr>
          <w:i/>
          <w:iCs/>
        </w:rPr>
        <w:t xml:space="preserve"> </w:t>
      </w:r>
      <w:r w:rsidR="00F848D0">
        <w:rPr>
          <w:i/>
          <w:iCs/>
        </w:rPr>
        <w:t>by</w:t>
      </w:r>
      <w:r w:rsidR="00D22364">
        <w:rPr>
          <w:i/>
          <w:iCs/>
        </w:rPr>
        <w:t xml:space="preserve"> </w:t>
      </w:r>
      <w:r w:rsidR="006E6151">
        <w:rPr>
          <w:i/>
          <w:iCs/>
        </w:rPr>
        <w:t>major</w:t>
      </w:r>
      <w:r w:rsidR="00D22364">
        <w:rPr>
          <w:i/>
          <w:iCs/>
        </w:rPr>
        <w:t xml:space="preserve"> political poetesses who </w:t>
      </w:r>
      <w:r w:rsidR="00037032">
        <w:rPr>
          <w:i/>
          <w:iCs/>
        </w:rPr>
        <w:t xml:space="preserve">celebrated and elevated one another, </w:t>
      </w:r>
      <w:r w:rsidR="00E75338">
        <w:rPr>
          <w:i/>
          <w:iCs/>
        </w:rPr>
        <w:t xml:space="preserve">seeking </w:t>
      </w:r>
      <w:r w:rsidR="00D22364" w:rsidRPr="00A54A54">
        <w:rPr>
          <w:i/>
          <w:iCs/>
        </w:rPr>
        <w:t xml:space="preserve">strategically </w:t>
      </w:r>
      <w:r w:rsidR="00E75338">
        <w:rPr>
          <w:i/>
          <w:iCs/>
        </w:rPr>
        <w:t>to convene</w:t>
      </w:r>
      <w:r w:rsidR="00D22364" w:rsidRPr="00A54A54">
        <w:rPr>
          <w:i/>
          <w:iCs/>
        </w:rPr>
        <w:t xml:space="preserve"> a community of </w:t>
      </w:r>
      <w:r w:rsidR="00D22364">
        <w:rPr>
          <w:i/>
          <w:iCs/>
        </w:rPr>
        <w:t>female readers and writers</w:t>
      </w:r>
      <w:r w:rsidR="00D22364" w:rsidRPr="00A54A54">
        <w:rPr>
          <w:i/>
          <w:iCs/>
        </w:rPr>
        <w:t xml:space="preserve"> around major </w:t>
      </w:r>
      <w:r w:rsidR="000F7F42">
        <w:rPr>
          <w:i/>
          <w:iCs/>
        </w:rPr>
        <w:t>social</w:t>
      </w:r>
      <w:r w:rsidR="00D22364" w:rsidRPr="00A54A54">
        <w:rPr>
          <w:i/>
          <w:iCs/>
        </w:rPr>
        <w:t xml:space="preserve"> issues of the day</w:t>
      </w:r>
      <w:r w:rsidR="00037032">
        <w:rPr>
          <w:i/>
          <w:iCs/>
        </w:rPr>
        <w:t>.</w:t>
      </w:r>
    </w:p>
    <w:p w14:paraId="07C29359" w14:textId="77777777" w:rsidR="00EB01EF" w:rsidRPr="00A54A54" w:rsidRDefault="00EB01EF" w:rsidP="003C1A07">
      <w:pPr>
        <w:rPr>
          <w:b/>
          <w:bCs/>
        </w:rPr>
      </w:pPr>
    </w:p>
    <w:p w14:paraId="4D01837B" w14:textId="77777777" w:rsidR="00896F38" w:rsidRDefault="00896F38" w:rsidP="003C1A07">
      <w:pPr>
        <w:rPr>
          <w:b/>
          <w:bCs/>
        </w:rPr>
      </w:pPr>
    </w:p>
    <w:p w14:paraId="3CA32186" w14:textId="7B8C3606" w:rsidR="00EB01EF" w:rsidRPr="00A54A54" w:rsidRDefault="00EB01EF" w:rsidP="003C1A07">
      <w:pPr>
        <w:rPr>
          <w:b/>
          <w:bCs/>
        </w:rPr>
      </w:pPr>
      <w:r w:rsidRPr="00A54A54">
        <w:rPr>
          <w:b/>
          <w:bCs/>
        </w:rPr>
        <w:t xml:space="preserve">UNIT 3: </w:t>
      </w:r>
      <w:r w:rsidR="00C70AF8" w:rsidRPr="00A54A54">
        <w:rPr>
          <w:b/>
          <w:bCs/>
        </w:rPr>
        <w:t>RACE</w:t>
      </w:r>
      <w:r w:rsidR="009C58F8" w:rsidRPr="00A54A54">
        <w:rPr>
          <w:b/>
          <w:bCs/>
        </w:rPr>
        <w:t xml:space="preserve">, </w:t>
      </w:r>
      <w:r w:rsidR="00C70AF8" w:rsidRPr="00A54A54">
        <w:rPr>
          <w:b/>
          <w:bCs/>
        </w:rPr>
        <w:t>EMPIRE</w:t>
      </w:r>
      <w:r w:rsidR="009C58F8" w:rsidRPr="00A54A54">
        <w:rPr>
          <w:b/>
          <w:bCs/>
        </w:rPr>
        <w:t>, “CIVILIZATION”</w:t>
      </w:r>
    </w:p>
    <w:p w14:paraId="02A98CD5" w14:textId="77777777" w:rsidR="00EB01EF" w:rsidRPr="00A54A54" w:rsidRDefault="00EB01EF" w:rsidP="003C1A07">
      <w:pPr>
        <w:rPr>
          <w:b/>
          <w:bCs/>
        </w:rPr>
      </w:pPr>
    </w:p>
    <w:p w14:paraId="18F7F69D" w14:textId="3174107A" w:rsidR="00EB01EF" w:rsidRPr="00A54A54" w:rsidRDefault="00EB01EF" w:rsidP="00EB01EF">
      <w:pPr>
        <w:rPr>
          <w:b/>
          <w:bCs/>
        </w:rPr>
      </w:pPr>
      <w:r w:rsidRPr="00A54A54">
        <w:rPr>
          <w:b/>
          <w:bCs/>
        </w:rPr>
        <w:t xml:space="preserve">Week 8: </w:t>
      </w:r>
      <w:r w:rsidR="00126FA6" w:rsidRPr="00A54A54">
        <w:rPr>
          <w:b/>
          <w:bCs/>
        </w:rPr>
        <w:t xml:space="preserve">Crying Mothers and </w:t>
      </w:r>
      <w:r w:rsidR="006F1C8F">
        <w:rPr>
          <w:b/>
          <w:bCs/>
        </w:rPr>
        <w:t xml:space="preserve">Literary </w:t>
      </w:r>
      <w:r w:rsidR="00FF3E86" w:rsidRPr="00A54A54">
        <w:rPr>
          <w:b/>
          <w:bCs/>
        </w:rPr>
        <w:t>Caricatures</w:t>
      </w:r>
    </w:p>
    <w:p w14:paraId="0D0C5587" w14:textId="77777777" w:rsidR="003C1A07" w:rsidRPr="00A54A54" w:rsidRDefault="003C1A07" w:rsidP="003C1A07"/>
    <w:p w14:paraId="70DABF1E" w14:textId="77777777" w:rsidR="00126FA6" w:rsidRPr="00A54A54" w:rsidRDefault="00EB01EF" w:rsidP="00126FA6">
      <w:pPr>
        <w:pStyle w:val="ListParagraph"/>
        <w:numPr>
          <w:ilvl w:val="0"/>
          <w:numId w:val="9"/>
        </w:numPr>
      </w:pPr>
      <w:bookmarkStart w:id="0" w:name="OLE_LINK1"/>
      <w:bookmarkStart w:id="1" w:name="OLE_LINK2"/>
      <w:r w:rsidRPr="00A54A54">
        <w:t xml:space="preserve">Charlotte Brontë, </w:t>
      </w:r>
      <w:r w:rsidRPr="00A54A54">
        <w:rPr>
          <w:i/>
          <w:iCs/>
        </w:rPr>
        <w:t>Jane Eyre</w:t>
      </w:r>
      <w:r w:rsidRPr="00A54A54">
        <w:t xml:space="preserve">, ch. XVIII-XXI  </w:t>
      </w:r>
      <w:bookmarkEnd w:id="0"/>
      <w:bookmarkEnd w:id="1"/>
    </w:p>
    <w:p w14:paraId="32967892" w14:textId="77777777" w:rsidR="00F55AC5" w:rsidRPr="00A54A54" w:rsidRDefault="00F55AC5" w:rsidP="00F55AC5">
      <w:pPr>
        <w:pStyle w:val="ListParagraph"/>
        <w:numPr>
          <w:ilvl w:val="0"/>
          <w:numId w:val="9"/>
        </w:numPr>
      </w:pPr>
      <w:r w:rsidRPr="00A54A54">
        <w:rPr>
          <w:color w:val="000000" w:themeColor="text1"/>
        </w:rPr>
        <w:t>E. Pauline Johnson (Tekahionwake), “A Cry from an Indian Wife” (1885) and “A Strong Race Opinion” (1892)</w:t>
      </w:r>
    </w:p>
    <w:p w14:paraId="076FA2FF" w14:textId="20517AA5" w:rsidR="00EB01EF" w:rsidRPr="00A54A54" w:rsidRDefault="00EB01EF" w:rsidP="00126FA6">
      <w:pPr>
        <w:pStyle w:val="ListParagraph"/>
        <w:numPr>
          <w:ilvl w:val="0"/>
          <w:numId w:val="9"/>
        </w:numPr>
      </w:pPr>
      <w:r w:rsidRPr="00A54A54">
        <w:t>Felicia Hemans, “Indian Woman’s Death Song” and “The Indian City” (1828)</w:t>
      </w:r>
    </w:p>
    <w:p w14:paraId="60CCBE44" w14:textId="77777777" w:rsidR="00EB01EF" w:rsidRPr="00A54A54" w:rsidRDefault="00EB01EF" w:rsidP="00EB01EF">
      <w:pPr>
        <w:pStyle w:val="ListParagraph"/>
        <w:numPr>
          <w:ilvl w:val="0"/>
          <w:numId w:val="9"/>
        </w:numPr>
      </w:pPr>
      <w:r w:rsidRPr="00A54A54">
        <w:t>Lydia Sigourney, “The Cherokee Mother” (1831)</w:t>
      </w:r>
    </w:p>
    <w:p w14:paraId="29AC284C" w14:textId="77777777" w:rsidR="00EB01EF" w:rsidRPr="00A54A54" w:rsidRDefault="00EB01EF" w:rsidP="00EB01EF">
      <w:pPr>
        <w:pStyle w:val="ListParagraph"/>
        <w:numPr>
          <w:ilvl w:val="0"/>
          <w:numId w:val="9"/>
        </w:numPr>
      </w:pPr>
      <w:r w:rsidRPr="00A54A54">
        <w:t>Eliza Hamilton Dunlop, “The Aboriginal Mother” (1841)</w:t>
      </w:r>
    </w:p>
    <w:p w14:paraId="320A485A" w14:textId="3C1B77C0" w:rsidR="00EB01EF" w:rsidRPr="00A54A54" w:rsidRDefault="00EB01EF" w:rsidP="00EB01EF">
      <w:pPr>
        <w:pStyle w:val="ListParagraph"/>
        <w:numPr>
          <w:ilvl w:val="0"/>
          <w:numId w:val="9"/>
        </w:numPr>
      </w:pPr>
      <w:r w:rsidRPr="00A54A54">
        <w:t>Zitkála-Šá, “The School Days of an Indian Girl” (</w:t>
      </w:r>
      <w:r w:rsidRPr="00A54A54">
        <w:rPr>
          <w:color w:val="000000" w:themeColor="text1"/>
        </w:rPr>
        <w:t>1900)</w:t>
      </w:r>
    </w:p>
    <w:p w14:paraId="04CDD0DA" w14:textId="082D4686" w:rsidR="00B72BC7" w:rsidRPr="00A54A54" w:rsidRDefault="00B72BC7" w:rsidP="00EB01EF">
      <w:pPr>
        <w:pStyle w:val="ListParagraph"/>
        <w:numPr>
          <w:ilvl w:val="0"/>
          <w:numId w:val="9"/>
        </w:numPr>
      </w:pPr>
      <w:r w:rsidRPr="00A54A54">
        <w:t>Suggested secondary reading:</w:t>
      </w:r>
      <w:r w:rsidR="002F0AA8" w:rsidRPr="00A54A54">
        <w:t xml:space="preserve"> Lindsey E. R. O’Neil, “Creating Canada: Emily Pauline Johnson and the Dramatic Monologue” (2020)</w:t>
      </w:r>
    </w:p>
    <w:p w14:paraId="26C35CAD" w14:textId="77777777" w:rsidR="00EB01EF" w:rsidRPr="00A54A54" w:rsidRDefault="00EB01EF" w:rsidP="00EB01EF">
      <w:pPr>
        <w:rPr>
          <w:b/>
          <w:bCs/>
        </w:rPr>
      </w:pPr>
    </w:p>
    <w:p w14:paraId="3B4C8AC8" w14:textId="77777777" w:rsidR="003A4A1D" w:rsidRDefault="003A4A1D">
      <w:pPr>
        <w:rPr>
          <w:b/>
          <w:bCs/>
        </w:rPr>
      </w:pPr>
      <w:r>
        <w:rPr>
          <w:b/>
          <w:bCs/>
        </w:rPr>
        <w:br w:type="page"/>
      </w:r>
    </w:p>
    <w:p w14:paraId="3EF426EE" w14:textId="4CFDAFC2" w:rsidR="003C1A07" w:rsidRPr="00A54A54" w:rsidRDefault="00EB01EF" w:rsidP="003A4A1D">
      <w:pPr>
        <w:spacing w:before="120"/>
        <w:rPr>
          <w:b/>
          <w:bCs/>
        </w:rPr>
      </w:pPr>
      <w:r w:rsidRPr="00A54A54">
        <w:rPr>
          <w:b/>
          <w:bCs/>
        </w:rPr>
        <w:lastRenderedPageBreak/>
        <w:t xml:space="preserve">Week </w:t>
      </w:r>
      <w:r w:rsidR="00126FA6" w:rsidRPr="00A54A54">
        <w:rPr>
          <w:b/>
          <w:bCs/>
        </w:rPr>
        <w:t>9</w:t>
      </w:r>
      <w:r w:rsidRPr="00A54A54">
        <w:rPr>
          <w:b/>
          <w:bCs/>
        </w:rPr>
        <w:t xml:space="preserve">: </w:t>
      </w:r>
      <w:r w:rsidR="003C1A07" w:rsidRPr="00A54A54">
        <w:rPr>
          <w:b/>
          <w:bCs/>
        </w:rPr>
        <w:t>Settler Colonialism and the “Civilizing Mission”</w:t>
      </w:r>
    </w:p>
    <w:p w14:paraId="37864C75" w14:textId="77777777" w:rsidR="003C1A07" w:rsidRPr="00A54A54" w:rsidRDefault="003C1A07" w:rsidP="003C1A07"/>
    <w:p w14:paraId="363006BC" w14:textId="744A1EEC" w:rsidR="003C1A07" w:rsidRPr="00A54A54" w:rsidRDefault="00126FA6" w:rsidP="00126FA6">
      <w:pPr>
        <w:pStyle w:val="ListParagraph"/>
        <w:numPr>
          <w:ilvl w:val="0"/>
          <w:numId w:val="10"/>
        </w:numPr>
        <w:rPr>
          <w:strike/>
        </w:rPr>
      </w:pPr>
      <w:r w:rsidRPr="00A54A54">
        <w:t xml:space="preserve">Charlotte Brontë, </w:t>
      </w:r>
      <w:r w:rsidRPr="00A54A54">
        <w:rPr>
          <w:i/>
          <w:iCs/>
        </w:rPr>
        <w:t>Jane Eyre</w:t>
      </w:r>
      <w:r w:rsidRPr="00A54A54">
        <w:t xml:space="preserve">, ch. XXII-XXVI </w:t>
      </w:r>
    </w:p>
    <w:p w14:paraId="6B7F3927" w14:textId="77777777" w:rsidR="003C1A07" w:rsidRPr="00A54A54" w:rsidRDefault="003C1A07" w:rsidP="003C1A07">
      <w:pPr>
        <w:pStyle w:val="ListParagraph"/>
        <w:numPr>
          <w:ilvl w:val="0"/>
          <w:numId w:val="10"/>
        </w:numPr>
      </w:pPr>
      <w:r w:rsidRPr="00A54A54">
        <w:t xml:space="preserve">Mary Ann Shadd, excerpts from </w:t>
      </w:r>
      <w:r w:rsidRPr="00A54A54">
        <w:rPr>
          <w:i/>
          <w:iCs/>
        </w:rPr>
        <w:t>A Plea for Emigration</w:t>
      </w:r>
      <w:r w:rsidRPr="00A54A54">
        <w:t xml:space="preserve"> (1852) and </w:t>
      </w:r>
      <w:r w:rsidRPr="00A54A54">
        <w:rPr>
          <w:i/>
          <w:iCs/>
        </w:rPr>
        <w:t>The Provincial Freeman</w:t>
      </w:r>
      <w:r w:rsidRPr="00A54A54">
        <w:t xml:space="preserve"> (1853)</w:t>
      </w:r>
    </w:p>
    <w:p w14:paraId="0AC08BBA" w14:textId="1FBDE2A6" w:rsidR="003C1A07" w:rsidRPr="00A54A54" w:rsidRDefault="003C1A07" w:rsidP="003C1A07">
      <w:pPr>
        <w:pStyle w:val="ListParagraph"/>
        <w:numPr>
          <w:ilvl w:val="0"/>
          <w:numId w:val="10"/>
        </w:numPr>
      </w:pPr>
      <w:r w:rsidRPr="00A54A54">
        <w:rPr>
          <w:color w:val="000000" w:themeColor="text1"/>
        </w:rPr>
        <w:t>Olive Schreiner, “The Native Problem in South Africa” (1909)</w:t>
      </w:r>
    </w:p>
    <w:p w14:paraId="4A3975BD" w14:textId="2626F2D9" w:rsidR="003C1A07" w:rsidRPr="008E0B87" w:rsidRDefault="00B72BC7" w:rsidP="003C1A07">
      <w:pPr>
        <w:pStyle w:val="ListParagraph"/>
        <w:numPr>
          <w:ilvl w:val="0"/>
          <w:numId w:val="10"/>
        </w:numPr>
      </w:pPr>
      <w:r w:rsidRPr="00A54A54">
        <w:t>Suggested secondary reading:</w:t>
      </w:r>
      <w:r w:rsidR="00EE2C22" w:rsidRPr="00A54A54">
        <w:rPr>
          <w:rFonts w:ascii="Times New Roman" w:eastAsia="Times New Roman" w:hAnsi="Times New Roman" w:cs="Times New Roman"/>
        </w:rPr>
        <w:t xml:space="preserve"> </w:t>
      </w:r>
      <w:r w:rsidR="00EE2C22" w:rsidRPr="00A54A54">
        <w:t>Rinaldo Walcott, “‘Who Is She and What Is She to You?’ Mary Ann Shadd Cary and the (Im)possibility of Black/Canadian Studies” (2000)</w:t>
      </w:r>
    </w:p>
    <w:p w14:paraId="0719CFD3" w14:textId="3E52F6D6" w:rsidR="003C1A07" w:rsidRPr="00A54A54" w:rsidRDefault="003C1A07" w:rsidP="003C1A07"/>
    <w:p w14:paraId="0FD44949" w14:textId="3258ABC7" w:rsidR="00126FA6" w:rsidRPr="00A54A54" w:rsidRDefault="00126FA6" w:rsidP="003A4A1D">
      <w:pPr>
        <w:spacing w:before="120"/>
        <w:rPr>
          <w:b/>
          <w:bCs/>
        </w:rPr>
      </w:pPr>
      <w:r w:rsidRPr="00A54A54">
        <w:rPr>
          <w:b/>
          <w:bCs/>
        </w:rPr>
        <w:t>Week 10: “The True Race-Woman”</w:t>
      </w:r>
    </w:p>
    <w:p w14:paraId="15DD35FD" w14:textId="77777777" w:rsidR="00126FA6" w:rsidRPr="00A54A54" w:rsidRDefault="00126FA6" w:rsidP="003C1A07"/>
    <w:p w14:paraId="202D81A8" w14:textId="77777777" w:rsidR="00126FA6" w:rsidRPr="00A54A54" w:rsidRDefault="00126FA6" w:rsidP="00126FA6">
      <w:pPr>
        <w:pStyle w:val="ListParagraph"/>
        <w:numPr>
          <w:ilvl w:val="0"/>
          <w:numId w:val="9"/>
        </w:numPr>
        <w:rPr>
          <w:color w:val="000000" w:themeColor="text1"/>
        </w:rPr>
      </w:pPr>
      <w:r w:rsidRPr="00A54A54">
        <w:t xml:space="preserve">Charlotte Brontë, </w:t>
      </w:r>
      <w:r w:rsidRPr="00A54A54">
        <w:rPr>
          <w:i/>
          <w:iCs/>
        </w:rPr>
        <w:t>Jane Eyre</w:t>
      </w:r>
      <w:r w:rsidRPr="00A54A54">
        <w:t xml:space="preserve">, ch. </w:t>
      </w:r>
      <w:r w:rsidRPr="00A54A54">
        <w:rPr>
          <w:color w:val="000000" w:themeColor="text1"/>
        </w:rPr>
        <w:t xml:space="preserve">XXVII-XXIX </w:t>
      </w:r>
    </w:p>
    <w:p w14:paraId="219A7453" w14:textId="6FF8359B" w:rsidR="00126FA6" w:rsidRPr="00A54A54" w:rsidRDefault="00126FA6" w:rsidP="00126FA6">
      <w:pPr>
        <w:pStyle w:val="ListParagraph"/>
        <w:numPr>
          <w:ilvl w:val="0"/>
          <w:numId w:val="9"/>
        </w:numPr>
        <w:rPr>
          <w:color w:val="000000" w:themeColor="text1"/>
        </w:rPr>
      </w:pPr>
      <w:r w:rsidRPr="00A54A54">
        <w:rPr>
          <w:color w:val="000000" w:themeColor="text1"/>
        </w:rPr>
        <w:t>Pauline Hopkins, “Talma Gordon” (1900) and “A Dash for Liberty” (1901)</w:t>
      </w:r>
    </w:p>
    <w:p w14:paraId="3D6D472E" w14:textId="77777777" w:rsidR="00126FA6" w:rsidRPr="00A54A54" w:rsidRDefault="00126FA6" w:rsidP="00126FA6">
      <w:pPr>
        <w:pStyle w:val="ListParagraph"/>
        <w:numPr>
          <w:ilvl w:val="0"/>
          <w:numId w:val="9"/>
        </w:numPr>
        <w:rPr>
          <w:color w:val="000000" w:themeColor="text1"/>
        </w:rPr>
      </w:pPr>
      <w:r w:rsidRPr="00A54A54">
        <w:rPr>
          <w:color w:val="000000" w:themeColor="text1"/>
        </w:rPr>
        <w:t>Pauline Hopkins, “Famous Women of the Negro Race” series (1901-2)</w:t>
      </w:r>
    </w:p>
    <w:p w14:paraId="24507DF0" w14:textId="637DECB5" w:rsidR="00126FA6" w:rsidRPr="0072333E" w:rsidRDefault="00126FA6" w:rsidP="0072333E">
      <w:pPr>
        <w:pStyle w:val="ListParagraph"/>
        <w:numPr>
          <w:ilvl w:val="0"/>
          <w:numId w:val="9"/>
        </w:numPr>
        <w:rPr>
          <w:i/>
          <w:iCs/>
        </w:rPr>
      </w:pPr>
      <w:r w:rsidRPr="00A54A54">
        <w:t>Suggested secondary reading:</w:t>
      </w:r>
      <w:r w:rsidR="00A979C8" w:rsidRPr="00A54A54">
        <w:t xml:space="preserve"> Brittney Cooper, excerpts from </w:t>
      </w:r>
      <w:r w:rsidR="00A979C8" w:rsidRPr="00A54A54">
        <w:rPr>
          <w:i/>
          <w:iCs/>
        </w:rPr>
        <w:t>Beyond Respectability</w:t>
      </w:r>
      <w:r w:rsidR="0072333E">
        <w:rPr>
          <w:i/>
          <w:iCs/>
        </w:rPr>
        <w:t>:</w:t>
      </w:r>
      <w:r w:rsidR="0072333E" w:rsidRPr="0072333E">
        <w:rPr>
          <w:i/>
          <w:iCs/>
        </w:rPr>
        <w:t> The Intellectual Thought of Race Women</w:t>
      </w:r>
      <w:r w:rsidR="00A979C8" w:rsidRPr="00A54A54">
        <w:t xml:space="preserve"> (2017)</w:t>
      </w:r>
      <w:r w:rsidR="00C37534">
        <w:t xml:space="preserve"> </w:t>
      </w:r>
    </w:p>
    <w:p w14:paraId="226DBDA4" w14:textId="77777777" w:rsidR="003C1A07" w:rsidRPr="00A54A54" w:rsidRDefault="003C1A07" w:rsidP="003C1A07">
      <w:pPr>
        <w:rPr>
          <w:i/>
          <w:iCs/>
        </w:rPr>
      </w:pPr>
    </w:p>
    <w:p w14:paraId="67111152" w14:textId="3FB60028" w:rsidR="003C1A07" w:rsidRPr="00A54A54" w:rsidRDefault="003C1A07" w:rsidP="003A4A1D">
      <w:pPr>
        <w:spacing w:before="120"/>
        <w:rPr>
          <w:b/>
          <w:bCs/>
        </w:rPr>
      </w:pPr>
      <w:r w:rsidRPr="00A54A54">
        <w:rPr>
          <w:b/>
          <w:bCs/>
        </w:rPr>
        <w:t xml:space="preserve">Week 11: </w:t>
      </w:r>
      <w:r w:rsidR="00EB01EF" w:rsidRPr="00A54A54">
        <w:rPr>
          <w:b/>
          <w:bCs/>
        </w:rPr>
        <w:t>Feminism</w:t>
      </w:r>
      <w:r w:rsidRPr="00A54A54">
        <w:rPr>
          <w:b/>
          <w:bCs/>
        </w:rPr>
        <w:t xml:space="preserve"> in Colonial India</w:t>
      </w:r>
    </w:p>
    <w:p w14:paraId="14D26157" w14:textId="77777777" w:rsidR="003C1A07" w:rsidRPr="00A54A54" w:rsidRDefault="003C1A07" w:rsidP="003C1A07"/>
    <w:p w14:paraId="65ED0552" w14:textId="77777777" w:rsidR="003C1A07" w:rsidRPr="00A54A54" w:rsidRDefault="003C1A07" w:rsidP="003C1A07">
      <w:pPr>
        <w:pStyle w:val="ListParagraph"/>
        <w:numPr>
          <w:ilvl w:val="0"/>
          <w:numId w:val="4"/>
        </w:numPr>
        <w:rPr>
          <w:color w:val="000000" w:themeColor="text1"/>
        </w:rPr>
      </w:pPr>
      <w:r w:rsidRPr="00A54A54">
        <w:t xml:space="preserve">Charlotte Brontë, </w:t>
      </w:r>
      <w:r w:rsidRPr="00A54A54">
        <w:rPr>
          <w:i/>
          <w:iCs/>
        </w:rPr>
        <w:t>Jane Eyre</w:t>
      </w:r>
      <w:r w:rsidRPr="00A54A54">
        <w:t>, ch. XXX-XXXII</w:t>
      </w:r>
      <w:r w:rsidRPr="00A54A54">
        <w:rPr>
          <w:b/>
          <w:bCs/>
        </w:rPr>
        <w:t xml:space="preserve"> </w:t>
      </w:r>
    </w:p>
    <w:p w14:paraId="50F1F5E7" w14:textId="77777777" w:rsidR="003C1A07" w:rsidRPr="00A54A54" w:rsidRDefault="003C1A07" w:rsidP="003C1A07">
      <w:pPr>
        <w:pStyle w:val="ListParagraph"/>
        <w:numPr>
          <w:ilvl w:val="0"/>
          <w:numId w:val="4"/>
        </w:numPr>
        <w:rPr>
          <w:color w:val="000000" w:themeColor="text1"/>
        </w:rPr>
      </w:pPr>
      <w:r w:rsidRPr="00A54A54">
        <w:rPr>
          <w:color w:val="000000" w:themeColor="text1"/>
        </w:rPr>
        <w:t>Krupabai Satthianadhan, “Women’s Influence at Home,” “Home Training of Children,” “Female Education,” and “Social Intercourse between Europeans and Natives” (1896)</w:t>
      </w:r>
    </w:p>
    <w:p w14:paraId="6D7373F6" w14:textId="2244E76D" w:rsidR="003C1A07" w:rsidRPr="00A54A54" w:rsidRDefault="003C1A07" w:rsidP="003C1A07">
      <w:pPr>
        <w:pStyle w:val="ListParagraph"/>
        <w:numPr>
          <w:ilvl w:val="0"/>
          <w:numId w:val="4"/>
        </w:numPr>
      </w:pPr>
      <w:r w:rsidRPr="00A54A54">
        <w:rPr>
          <w:rFonts w:eastAsia="Times New Roman" w:cs="Times New Roman"/>
          <w:color w:val="000000"/>
          <w:shd w:val="clear" w:color="auto" w:fill="FFFFFF"/>
        </w:rPr>
        <w:t>Rukhmabai, “Indian Child Marriages” (1890); Cornelia Sorabji, “Stray Thoughts of an Indian Girl” (1891)</w:t>
      </w:r>
    </w:p>
    <w:p w14:paraId="7501513D" w14:textId="1A6C2A46" w:rsidR="00F976BB" w:rsidRPr="0072333E" w:rsidRDefault="00F976BB" w:rsidP="0072333E">
      <w:pPr>
        <w:pStyle w:val="ListParagraph"/>
        <w:numPr>
          <w:ilvl w:val="0"/>
          <w:numId w:val="4"/>
        </w:numPr>
        <w:rPr>
          <w:rFonts w:eastAsia="Times New Roman" w:cs="Times New Roman"/>
          <w:i/>
          <w:iCs/>
          <w:color w:val="000000"/>
          <w:shd w:val="clear" w:color="auto" w:fill="FFFFFF"/>
        </w:rPr>
      </w:pPr>
      <w:r w:rsidRPr="00A54A54">
        <w:t xml:space="preserve">Suggested secondary reading: </w:t>
      </w:r>
      <w:r w:rsidRPr="00A54A54">
        <w:rPr>
          <w:rFonts w:eastAsia="Times New Roman" w:cs="Times New Roman"/>
          <w:color w:val="000000"/>
          <w:shd w:val="clear" w:color="auto" w:fill="FFFFFF"/>
        </w:rPr>
        <w:t xml:space="preserve">Priya Joshi, excerpts from </w:t>
      </w:r>
      <w:r w:rsidRPr="00A54A54">
        <w:rPr>
          <w:rFonts w:eastAsia="Times New Roman" w:cs="Times New Roman"/>
          <w:i/>
          <w:iCs/>
          <w:color w:val="000000"/>
          <w:shd w:val="clear" w:color="auto" w:fill="FFFFFF"/>
        </w:rPr>
        <w:t>In Another Country</w:t>
      </w:r>
      <w:r w:rsidR="0072333E">
        <w:rPr>
          <w:rFonts w:eastAsia="Times New Roman" w:cs="Times New Roman"/>
          <w:i/>
          <w:iCs/>
          <w:color w:val="000000"/>
          <w:shd w:val="clear" w:color="auto" w:fill="FFFFFF"/>
        </w:rPr>
        <w:t xml:space="preserve">: </w:t>
      </w:r>
      <w:r w:rsidR="0072333E" w:rsidRPr="0072333E">
        <w:rPr>
          <w:rFonts w:eastAsia="Times New Roman" w:cs="Times New Roman"/>
          <w:i/>
          <w:iCs/>
          <w:color w:val="000000"/>
          <w:shd w:val="clear" w:color="auto" w:fill="FFFFFF"/>
        </w:rPr>
        <w:t>Colonialism, Culture, and the English Novel in India</w:t>
      </w:r>
      <w:r w:rsidRPr="0072333E">
        <w:rPr>
          <w:rFonts w:eastAsia="Times New Roman" w:cs="Times New Roman"/>
          <w:color w:val="000000"/>
          <w:shd w:val="clear" w:color="auto" w:fill="FFFFFF"/>
        </w:rPr>
        <w:t xml:space="preserve"> (2002)</w:t>
      </w:r>
      <w:r w:rsidR="009F5758">
        <w:rPr>
          <w:rFonts w:eastAsia="Times New Roman" w:cs="Times New Roman"/>
          <w:color w:val="000000"/>
          <w:shd w:val="clear" w:color="auto" w:fill="FFFFFF"/>
        </w:rPr>
        <w:t xml:space="preserve"> and Antoinette Burton, excerpts from </w:t>
      </w:r>
      <w:r w:rsidR="00C03AEF" w:rsidRPr="00C03AEF">
        <w:rPr>
          <w:rFonts w:eastAsia="Times New Roman" w:cs="Times New Roman"/>
          <w:i/>
          <w:iCs/>
          <w:color w:val="000000"/>
          <w:shd w:val="clear" w:color="auto" w:fill="FFFFFF"/>
        </w:rPr>
        <w:t>Burdens of History: British Feminists, Indian Women, and Imperial Culture, 1865-1915</w:t>
      </w:r>
      <w:r w:rsidR="00C03AEF">
        <w:rPr>
          <w:rFonts w:eastAsia="Times New Roman" w:cs="Times New Roman"/>
          <w:color w:val="000000"/>
          <w:shd w:val="clear" w:color="auto" w:fill="FFFFFF"/>
        </w:rPr>
        <w:t xml:space="preserve"> (1994)</w:t>
      </w:r>
    </w:p>
    <w:p w14:paraId="77F3B5C0" w14:textId="0998F7F8" w:rsidR="008E0B87" w:rsidRDefault="008E0B87" w:rsidP="008E0B87"/>
    <w:p w14:paraId="4C6DA010" w14:textId="6C7647C7" w:rsidR="008E0B87" w:rsidRPr="00FD41D9" w:rsidRDefault="008E0B87" w:rsidP="008E0B87">
      <w:pPr>
        <w:rPr>
          <w:i/>
          <w:iCs/>
        </w:rPr>
      </w:pPr>
      <w:r w:rsidRPr="00A54A54">
        <w:rPr>
          <w:i/>
          <w:iCs/>
        </w:rPr>
        <w:t xml:space="preserve">Note: </w:t>
      </w:r>
      <w:r w:rsidR="00327E77">
        <w:rPr>
          <w:i/>
          <w:iCs/>
        </w:rPr>
        <w:t xml:space="preserve">This unit on race and empire </w:t>
      </w:r>
      <w:r w:rsidR="009345A4">
        <w:rPr>
          <w:i/>
          <w:iCs/>
        </w:rPr>
        <w:t>includes</w:t>
      </w:r>
      <w:r w:rsidR="00327E77">
        <w:rPr>
          <w:i/>
          <w:iCs/>
        </w:rPr>
        <w:t xml:space="preserve"> the keyword “civilization” </w:t>
      </w:r>
      <w:r w:rsidR="00600702">
        <w:rPr>
          <w:i/>
          <w:iCs/>
        </w:rPr>
        <w:t>to recognize that</w:t>
      </w:r>
      <w:r w:rsidR="00327E77">
        <w:rPr>
          <w:i/>
          <w:iCs/>
        </w:rPr>
        <w:t xml:space="preserve"> </w:t>
      </w:r>
      <w:r w:rsidR="00327E77" w:rsidRPr="00327E77">
        <w:rPr>
          <w:i/>
          <w:iCs/>
        </w:rPr>
        <w:t xml:space="preserve">Western women’s participation in </w:t>
      </w:r>
      <w:r w:rsidR="00C21C7A">
        <w:rPr>
          <w:i/>
          <w:iCs/>
        </w:rPr>
        <w:t>imperial</w:t>
      </w:r>
      <w:r w:rsidR="00327E77" w:rsidRPr="00327E77">
        <w:rPr>
          <w:i/>
          <w:iCs/>
        </w:rPr>
        <w:t xml:space="preserve"> “civilizing missions” drew upon their presumptive embodiment of </w:t>
      </w:r>
      <w:r w:rsidR="00155595">
        <w:rPr>
          <w:i/>
          <w:iCs/>
        </w:rPr>
        <w:t xml:space="preserve">the </w:t>
      </w:r>
      <w:r w:rsidR="004F7639">
        <w:rPr>
          <w:i/>
          <w:iCs/>
        </w:rPr>
        <w:t>norms</w:t>
      </w:r>
      <w:r w:rsidR="00155595">
        <w:rPr>
          <w:i/>
          <w:iCs/>
        </w:rPr>
        <w:t xml:space="preserve"> of </w:t>
      </w:r>
      <w:r w:rsidR="00327E77" w:rsidRPr="00327E77">
        <w:rPr>
          <w:i/>
          <w:iCs/>
        </w:rPr>
        <w:t xml:space="preserve">civility and civilization, further amplifying the idealizations of women’s work analyzed in the previous unit. </w:t>
      </w:r>
      <w:r w:rsidR="00DB08BD">
        <w:rPr>
          <w:i/>
          <w:iCs/>
        </w:rPr>
        <w:t xml:space="preserve">This focus links our exploration of settler colonial </w:t>
      </w:r>
      <w:r w:rsidR="001A5744">
        <w:rPr>
          <w:i/>
          <w:iCs/>
        </w:rPr>
        <w:t xml:space="preserve">and imperial </w:t>
      </w:r>
      <w:r w:rsidR="00DB08BD">
        <w:rPr>
          <w:i/>
          <w:iCs/>
        </w:rPr>
        <w:t xml:space="preserve">contexts as disparate as Canada and India, </w:t>
      </w:r>
      <w:r w:rsidR="001731F1">
        <w:rPr>
          <w:i/>
          <w:iCs/>
        </w:rPr>
        <w:t>while</w:t>
      </w:r>
      <w:r w:rsidR="00DB08BD">
        <w:rPr>
          <w:i/>
          <w:iCs/>
        </w:rPr>
        <w:t xml:space="preserve"> s</w:t>
      </w:r>
      <w:r w:rsidR="00DB08BD" w:rsidRPr="00DB08BD">
        <w:rPr>
          <w:i/>
          <w:iCs/>
        </w:rPr>
        <w:t xml:space="preserve">econdary texts by Lindsey E. R. O’Neil and Rinaldo Walcott enable discussion of meta-level questions about how we nationalize (or don’t) figures like Mary Ann Shadd Cary, whose proposals for </w:t>
      </w:r>
      <w:r w:rsidR="004A1042">
        <w:rPr>
          <w:i/>
          <w:iCs/>
        </w:rPr>
        <w:t>African American</w:t>
      </w:r>
      <w:r w:rsidR="00DB08BD" w:rsidRPr="00DB08BD">
        <w:rPr>
          <w:i/>
          <w:iCs/>
        </w:rPr>
        <w:t xml:space="preserve"> emigration to Canada raise complex questions about the encounters of immigrant and indigenous populations. </w:t>
      </w:r>
      <w:r w:rsidR="00DB08BD">
        <w:rPr>
          <w:i/>
          <w:iCs/>
        </w:rPr>
        <w:t xml:space="preserve">In another in-class collaborative assignment that draws on skills cultivated in </w:t>
      </w:r>
      <w:r w:rsidR="000A0867">
        <w:rPr>
          <w:i/>
          <w:iCs/>
        </w:rPr>
        <w:t xml:space="preserve">the </w:t>
      </w:r>
      <w:r w:rsidR="00DB08BD">
        <w:rPr>
          <w:i/>
          <w:iCs/>
        </w:rPr>
        <w:t>conduct guide assignment (described above and detailed further below)</w:t>
      </w:r>
      <w:r w:rsidRPr="00A54A54">
        <w:rPr>
          <w:i/>
          <w:iCs/>
        </w:rPr>
        <w:t xml:space="preserve">, we break into groups to research and discuss Hopkins’s </w:t>
      </w:r>
      <w:r w:rsidR="00CD3C96">
        <w:rPr>
          <w:i/>
          <w:iCs/>
        </w:rPr>
        <w:t xml:space="preserve">definition of “the True Race-Woman” and the </w:t>
      </w:r>
      <w:r w:rsidR="00D548FB">
        <w:rPr>
          <w:i/>
          <w:iCs/>
        </w:rPr>
        <w:t xml:space="preserve">politics of uplift </w:t>
      </w:r>
      <w:r w:rsidR="00CD3C96">
        <w:rPr>
          <w:i/>
          <w:iCs/>
        </w:rPr>
        <w:t xml:space="preserve">that </w:t>
      </w:r>
      <w:r w:rsidR="00322DF0">
        <w:rPr>
          <w:i/>
          <w:iCs/>
        </w:rPr>
        <w:t>characterize</w:t>
      </w:r>
      <w:r w:rsidR="00D548FB">
        <w:rPr>
          <w:i/>
          <w:iCs/>
        </w:rPr>
        <w:t xml:space="preserve"> her </w:t>
      </w:r>
      <w:r w:rsidRPr="00A54A54">
        <w:rPr>
          <w:i/>
          <w:iCs/>
        </w:rPr>
        <w:t xml:space="preserve">“Famous Women of the Negro Race” series, published in </w:t>
      </w:r>
      <w:r w:rsidRPr="00A54A54">
        <w:rPr>
          <w:color w:val="000000" w:themeColor="text1"/>
        </w:rPr>
        <w:t>The Colored American Magazine</w:t>
      </w:r>
      <w:r w:rsidR="006630F2">
        <w:rPr>
          <w:color w:val="000000" w:themeColor="text1"/>
        </w:rPr>
        <w:t xml:space="preserve"> </w:t>
      </w:r>
      <w:r w:rsidR="006630F2" w:rsidRPr="006630F2">
        <w:rPr>
          <w:i/>
          <w:iCs/>
          <w:color w:val="000000" w:themeColor="text1"/>
        </w:rPr>
        <w:t>in 1901-2</w:t>
      </w:r>
      <w:r w:rsidRPr="00A54A54">
        <w:rPr>
          <w:i/>
          <w:iCs/>
          <w:color w:val="000000" w:themeColor="text1"/>
        </w:rPr>
        <w:t xml:space="preserve">. </w:t>
      </w:r>
      <w:r w:rsidR="00610D54">
        <w:rPr>
          <w:i/>
          <w:iCs/>
          <w:color w:val="000000" w:themeColor="text1"/>
        </w:rPr>
        <w:t xml:space="preserve">Attending to </w:t>
      </w:r>
      <w:r w:rsidR="001205AE">
        <w:rPr>
          <w:i/>
          <w:iCs/>
          <w:color w:val="000000" w:themeColor="text1"/>
        </w:rPr>
        <w:t>questions o</w:t>
      </w:r>
      <w:r w:rsidR="00D638D2">
        <w:rPr>
          <w:i/>
          <w:iCs/>
          <w:color w:val="000000" w:themeColor="text1"/>
        </w:rPr>
        <w:t xml:space="preserve">f </w:t>
      </w:r>
      <w:r w:rsidR="00610D54">
        <w:rPr>
          <w:i/>
          <w:iCs/>
          <w:color w:val="000000" w:themeColor="text1"/>
        </w:rPr>
        <w:t>form and genre</w:t>
      </w:r>
      <w:r w:rsidRPr="00A54A54">
        <w:rPr>
          <w:i/>
          <w:iCs/>
          <w:color w:val="000000" w:themeColor="text1"/>
        </w:rPr>
        <w:t xml:space="preserve">, we </w:t>
      </w:r>
      <w:r w:rsidR="00610D54">
        <w:rPr>
          <w:i/>
          <w:iCs/>
          <w:color w:val="000000" w:themeColor="text1"/>
        </w:rPr>
        <w:t>compare</w:t>
      </w:r>
      <w:r w:rsidRPr="00A54A54">
        <w:rPr>
          <w:i/>
          <w:iCs/>
          <w:color w:val="000000" w:themeColor="text1"/>
        </w:rPr>
        <w:t xml:space="preserve"> the very distinct employments of mysteries and enigmas in Rossetti’s “Goblin Market” and Hopkins’s “Talma Gordon.”</w:t>
      </w:r>
      <w:r w:rsidRPr="00A54A54">
        <w:rPr>
          <w:i/>
          <w:iCs/>
        </w:rPr>
        <w:t xml:space="preserve"> </w:t>
      </w:r>
      <w:r w:rsidR="00EA07C9" w:rsidRPr="00EA07C9">
        <w:rPr>
          <w:i/>
          <w:iCs/>
        </w:rPr>
        <w:t>As we shift</w:t>
      </w:r>
      <w:r w:rsidR="00884798">
        <w:rPr>
          <w:i/>
          <w:iCs/>
        </w:rPr>
        <w:t>, in Week 11,</w:t>
      </w:r>
      <w:r w:rsidR="00EA07C9" w:rsidRPr="00EA07C9">
        <w:rPr>
          <w:i/>
          <w:iCs/>
        </w:rPr>
        <w:t xml:space="preserve"> into </w:t>
      </w:r>
      <w:r w:rsidR="009B2B54">
        <w:rPr>
          <w:i/>
          <w:iCs/>
        </w:rPr>
        <w:t>the</w:t>
      </w:r>
      <w:r w:rsidR="00EA07C9" w:rsidRPr="00EA07C9">
        <w:rPr>
          <w:i/>
          <w:iCs/>
        </w:rPr>
        <w:t xml:space="preserve"> new cultural context </w:t>
      </w:r>
      <w:r w:rsidR="009B2B54">
        <w:rPr>
          <w:i/>
          <w:iCs/>
        </w:rPr>
        <w:t xml:space="preserve">of </w:t>
      </w:r>
      <w:r w:rsidR="00F44CF9">
        <w:rPr>
          <w:i/>
          <w:iCs/>
        </w:rPr>
        <w:t>imperial</w:t>
      </w:r>
      <w:r w:rsidR="00EA07C9" w:rsidRPr="00EA07C9">
        <w:rPr>
          <w:i/>
          <w:iCs/>
        </w:rPr>
        <w:t xml:space="preserve"> India, the essays, poetry</w:t>
      </w:r>
      <w:r w:rsidR="00CF5AF6">
        <w:rPr>
          <w:i/>
          <w:iCs/>
        </w:rPr>
        <w:t>, and journalism</w:t>
      </w:r>
      <w:r w:rsidR="00EA07C9" w:rsidRPr="00EA07C9">
        <w:rPr>
          <w:i/>
          <w:iCs/>
        </w:rPr>
        <w:t xml:space="preserve"> of </w:t>
      </w:r>
      <w:r w:rsidR="00CF5AF6">
        <w:rPr>
          <w:i/>
          <w:iCs/>
        </w:rPr>
        <w:t xml:space="preserve">Krupabai </w:t>
      </w:r>
      <w:r w:rsidR="00EA07C9" w:rsidRPr="00EA07C9">
        <w:rPr>
          <w:i/>
          <w:iCs/>
        </w:rPr>
        <w:t>Satthianadhan</w:t>
      </w:r>
      <w:r w:rsidR="00CF5AF6">
        <w:rPr>
          <w:i/>
          <w:iCs/>
        </w:rPr>
        <w:t xml:space="preserve">, </w:t>
      </w:r>
      <w:r w:rsidR="00CF5AF6" w:rsidRPr="00CF5AF6">
        <w:rPr>
          <w:i/>
          <w:iCs/>
        </w:rPr>
        <w:t>Rukhmabai</w:t>
      </w:r>
      <w:r w:rsidR="00CF5AF6">
        <w:rPr>
          <w:i/>
          <w:iCs/>
        </w:rPr>
        <w:t>,</w:t>
      </w:r>
      <w:r w:rsidR="00EA07C9" w:rsidRPr="00EA07C9">
        <w:rPr>
          <w:i/>
          <w:iCs/>
        </w:rPr>
        <w:t xml:space="preserve"> and </w:t>
      </w:r>
      <w:r w:rsidR="00CF5AF6">
        <w:rPr>
          <w:i/>
          <w:iCs/>
        </w:rPr>
        <w:t xml:space="preserve">Cornelia </w:t>
      </w:r>
      <w:r w:rsidR="00EA07C9" w:rsidRPr="00EA07C9">
        <w:rPr>
          <w:i/>
          <w:iCs/>
        </w:rPr>
        <w:t xml:space="preserve">Sorabji help introduce students to defining political issues </w:t>
      </w:r>
      <w:r w:rsidR="00FB54A1">
        <w:rPr>
          <w:i/>
          <w:iCs/>
        </w:rPr>
        <w:t xml:space="preserve">and </w:t>
      </w:r>
      <w:r w:rsidR="006365C9">
        <w:rPr>
          <w:i/>
          <w:iCs/>
        </w:rPr>
        <w:t xml:space="preserve">forms of </w:t>
      </w:r>
      <w:r w:rsidR="003A098B">
        <w:rPr>
          <w:i/>
          <w:iCs/>
        </w:rPr>
        <w:t>media</w:t>
      </w:r>
      <w:r w:rsidR="00FB54A1">
        <w:rPr>
          <w:i/>
          <w:iCs/>
        </w:rPr>
        <w:t xml:space="preserve"> </w:t>
      </w:r>
      <w:r w:rsidR="00EA07C9" w:rsidRPr="00EA07C9">
        <w:rPr>
          <w:i/>
          <w:iCs/>
        </w:rPr>
        <w:t xml:space="preserve">of this region in the era, including the education of women and </w:t>
      </w:r>
      <w:r w:rsidR="001F20D0">
        <w:rPr>
          <w:i/>
          <w:iCs/>
        </w:rPr>
        <w:t>controversial</w:t>
      </w:r>
      <w:r w:rsidR="00EA07C9" w:rsidRPr="00EA07C9">
        <w:rPr>
          <w:i/>
          <w:iCs/>
        </w:rPr>
        <w:t xml:space="preserve"> practices </w:t>
      </w:r>
      <w:r w:rsidR="001F20D0">
        <w:rPr>
          <w:i/>
          <w:iCs/>
        </w:rPr>
        <w:t>like</w:t>
      </w:r>
      <w:r w:rsidR="00EA07C9" w:rsidRPr="00EA07C9">
        <w:rPr>
          <w:i/>
          <w:iCs/>
        </w:rPr>
        <w:t xml:space="preserve"> child-marriage and sati. </w:t>
      </w:r>
      <w:r w:rsidRPr="00A54A54">
        <w:rPr>
          <w:i/>
          <w:iCs/>
        </w:rPr>
        <w:t xml:space="preserve"> </w:t>
      </w:r>
    </w:p>
    <w:p w14:paraId="16442059" w14:textId="49496251" w:rsidR="00EB01EF" w:rsidRPr="00A54A54" w:rsidRDefault="00EB01EF" w:rsidP="00EB01EF"/>
    <w:p w14:paraId="6E95C100" w14:textId="77777777" w:rsidR="00896F38" w:rsidRDefault="00896F38" w:rsidP="00EB01EF">
      <w:pPr>
        <w:rPr>
          <w:b/>
          <w:bCs/>
          <w:color w:val="000000" w:themeColor="text1"/>
        </w:rPr>
      </w:pPr>
    </w:p>
    <w:p w14:paraId="596799BE" w14:textId="77777777" w:rsidR="003A4A1D" w:rsidRDefault="003A4A1D">
      <w:pPr>
        <w:rPr>
          <w:b/>
          <w:bCs/>
          <w:color w:val="000000" w:themeColor="text1"/>
        </w:rPr>
      </w:pPr>
      <w:r>
        <w:rPr>
          <w:b/>
          <w:bCs/>
          <w:color w:val="000000" w:themeColor="text1"/>
        </w:rPr>
        <w:br w:type="page"/>
      </w:r>
    </w:p>
    <w:p w14:paraId="1F4D97DE" w14:textId="0274E451" w:rsidR="00EB01EF" w:rsidRPr="00A54A54" w:rsidRDefault="00EB01EF" w:rsidP="00EB01EF">
      <w:pPr>
        <w:rPr>
          <w:b/>
          <w:bCs/>
          <w:color w:val="000000" w:themeColor="text1"/>
        </w:rPr>
      </w:pPr>
      <w:r w:rsidRPr="00A54A54">
        <w:rPr>
          <w:b/>
          <w:bCs/>
          <w:color w:val="000000" w:themeColor="text1"/>
        </w:rPr>
        <w:lastRenderedPageBreak/>
        <w:t>UNIT 4: THE GLOBAL NEW WOMAN</w:t>
      </w:r>
      <w:r w:rsidR="0058012D" w:rsidRPr="00A54A54">
        <w:rPr>
          <w:b/>
          <w:bCs/>
          <w:color w:val="000000" w:themeColor="text1"/>
        </w:rPr>
        <w:t xml:space="preserve"> </w:t>
      </w:r>
    </w:p>
    <w:p w14:paraId="0134846E" w14:textId="77777777" w:rsidR="003C1A07" w:rsidRPr="00A54A54" w:rsidRDefault="003C1A07" w:rsidP="003C1A07">
      <w:r w:rsidRPr="00A54A54">
        <w:t xml:space="preserve"> </w:t>
      </w:r>
    </w:p>
    <w:p w14:paraId="56C91E57" w14:textId="65B3AB6C" w:rsidR="003C1A07" w:rsidRPr="00A54A54" w:rsidRDefault="003C1A07" w:rsidP="003C1A07">
      <w:pPr>
        <w:rPr>
          <w:b/>
          <w:bCs/>
        </w:rPr>
      </w:pPr>
      <w:r w:rsidRPr="00A54A54">
        <w:rPr>
          <w:b/>
          <w:bCs/>
        </w:rPr>
        <w:t xml:space="preserve">Week 12: </w:t>
      </w:r>
      <w:r w:rsidR="00EB01EF" w:rsidRPr="00A54A54">
        <w:rPr>
          <w:b/>
          <w:bCs/>
        </w:rPr>
        <w:t>New Wom</w:t>
      </w:r>
      <w:r w:rsidR="008611F1" w:rsidRPr="00A54A54">
        <w:rPr>
          <w:b/>
          <w:bCs/>
        </w:rPr>
        <w:t>e</w:t>
      </w:r>
      <w:r w:rsidR="00EB01EF" w:rsidRPr="00A54A54">
        <w:rPr>
          <w:b/>
          <w:bCs/>
        </w:rPr>
        <w:t>n, Palace Burners</w:t>
      </w:r>
      <w:r w:rsidR="008611F1" w:rsidRPr="00A54A54">
        <w:rPr>
          <w:b/>
          <w:bCs/>
        </w:rPr>
        <w:t>,</w:t>
      </w:r>
      <w:r w:rsidR="00EB01EF" w:rsidRPr="00A54A54">
        <w:rPr>
          <w:b/>
          <w:bCs/>
        </w:rPr>
        <w:t xml:space="preserve"> and Queer </w:t>
      </w:r>
      <w:r w:rsidR="003815FF" w:rsidRPr="00A54A54">
        <w:rPr>
          <w:b/>
          <w:bCs/>
        </w:rPr>
        <w:t>Love</w:t>
      </w:r>
      <w:r w:rsidR="00EB01EF" w:rsidRPr="00A54A54">
        <w:rPr>
          <w:b/>
          <w:bCs/>
        </w:rPr>
        <w:t xml:space="preserve"> </w:t>
      </w:r>
    </w:p>
    <w:p w14:paraId="7C9DDA27" w14:textId="77777777" w:rsidR="003C1A07" w:rsidRPr="00A54A54" w:rsidRDefault="003C1A07" w:rsidP="003C1A07"/>
    <w:p w14:paraId="19CCB9CF" w14:textId="10A7D7A3" w:rsidR="00EB01EF" w:rsidRPr="00A54A54" w:rsidRDefault="003C1A07" w:rsidP="00EB01EF">
      <w:pPr>
        <w:pStyle w:val="ListParagraph"/>
        <w:numPr>
          <w:ilvl w:val="0"/>
          <w:numId w:val="3"/>
        </w:numPr>
      </w:pPr>
      <w:r w:rsidRPr="00A54A54">
        <w:t xml:space="preserve">Charlotte Brontë, </w:t>
      </w:r>
      <w:r w:rsidRPr="00A54A54">
        <w:rPr>
          <w:i/>
          <w:iCs/>
        </w:rPr>
        <w:t>Jane Eyre</w:t>
      </w:r>
      <w:r w:rsidRPr="00A54A54">
        <w:t xml:space="preserve">, ch. XXXIII-XXXIV </w:t>
      </w:r>
    </w:p>
    <w:p w14:paraId="14FF185B" w14:textId="77777777" w:rsidR="00502B8D" w:rsidRPr="00A54A54" w:rsidRDefault="00EB01EF" w:rsidP="00EB01EF">
      <w:pPr>
        <w:pStyle w:val="ListParagraph"/>
        <w:numPr>
          <w:ilvl w:val="0"/>
          <w:numId w:val="3"/>
        </w:numPr>
      </w:pPr>
      <w:r w:rsidRPr="00A54A54">
        <w:t>Sarah Grand</w:t>
      </w:r>
      <w:r w:rsidR="00502B8D" w:rsidRPr="00A54A54">
        <w:t xml:space="preserve">, “The New Aspect of the Woman Question” (1894) </w:t>
      </w:r>
    </w:p>
    <w:p w14:paraId="12083AF2" w14:textId="65F14C8B" w:rsidR="00EB01EF" w:rsidRPr="00A54A54" w:rsidRDefault="00EB01EF" w:rsidP="00EB01EF">
      <w:pPr>
        <w:pStyle w:val="ListParagraph"/>
        <w:numPr>
          <w:ilvl w:val="0"/>
          <w:numId w:val="3"/>
        </w:numPr>
      </w:pPr>
      <w:r w:rsidRPr="00A54A54">
        <w:t>Ouida</w:t>
      </w:r>
      <w:r w:rsidR="00502B8D" w:rsidRPr="00A54A54">
        <w:t>, “The</w:t>
      </w:r>
      <w:r w:rsidRPr="00A54A54">
        <w:t xml:space="preserve"> New Woman</w:t>
      </w:r>
      <w:r w:rsidR="00502B8D" w:rsidRPr="00A54A54">
        <w:t xml:space="preserve">” </w:t>
      </w:r>
      <w:r w:rsidRPr="00A54A54">
        <w:t>(1894)</w:t>
      </w:r>
    </w:p>
    <w:p w14:paraId="351E4317" w14:textId="0AF09984" w:rsidR="00EB01EF" w:rsidRPr="00A54A54" w:rsidRDefault="00EB01EF" w:rsidP="00EB01EF">
      <w:pPr>
        <w:pStyle w:val="ListParagraph"/>
        <w:numPr>
          <w:ilvl w:val="0"/>
          <w:numId w:val="3"/>
        </w:numPr>
      </w:pPr>
      <w:r w:rsidRPr="00A54A54">
        <w:rPr>
          <w:color w:val="000000" w:themeColor="text1"/>
        </w:rPr>
        <w:t>Charlotte Perkins Gilman, “The Yellow Wall Paper” (1892)</w:t>
      </w:r>
    </w:p>
    <w:p w14:paraId="4B3E23AF" w14:textId="4A0FF091" w:rsidR="001961E5" w:rsidRPr="00A54A54" w:rsidRDefault="001961E5" w:rsidP="001961E5">
      <w:pPr>
        <w:pStyle w:val="ListParagraph"/>
        <w:numPr>
          <w:ilvl w:val="0"/>
          <w:numId w:val="3"/>
        </w:numPr>
      </w:pPr>
      <w:r w:rsidRPr="00A54A54">
        <w:rPr>
          <w:color w:val="000000" w:themeColor="text1"/>
        </w:rPr>
        <w:t>Sarah Morgan Bryan Piatt, “The Palace-Burner” (1894)</w:t>
      </w:r>
    </w:p>
    <w:p w14:paraId="65008752" w14:textId="65472104" w:rsidR="00EB01EF" w:rsidRPr="00A54A54" w:rsidRDefault="00EB01EF" w:rsidP="00EB01EF">
      <w:pPr>
        <w:pStyle w:val="ListParagraph"/>
        <w:numPr>
          <w:ilvl w:val="0"/>
          <w:numId w:val="3"/>
        </w:numPr>
      </w:pPr>
      <w:r w:rsidRPr="00A54A54">
        <w:rPr>
          <w:color w:val="000000" w:themeColor="text1"/>
        </w:rPr>
        <w:t>Amy Levy, “New Love, New Life,” “Borderland,” “In the Mile End Road,” “To Vernon Lee,” “A Wall Flower,” and “At a Dinner Party” (1889)</w:t>
      </w:r>
    </w:p>
    <w:p w14:paraId="74CA8D83" w14:textId="080FF7EB" w:rsidR="00500985" w:rsidRPr="00A54A54" w:rsidRDefault="00593C25" w:rsidP="00EB01EF">
      <w:pPr>
        <w:pStyle w:val="ListParagraph"/>
        <w:numPr>
          <w:ilvl w:val="0"/>
          <w:numId w:val="3"/>
        </w:numPr>
      </w:pPr>
      <w:r w:rsidRPr="00A54A54">
        <w:t xml:space="preserve">Suggested secondary reading: </w:t>
      </w:r>
      <w:r w:rsidR="00600045" w:rsidRPr="00A54A54">
        <w:t xml:space="preserve">Emma Heaney, excerpts from </w:t>
      </w:r>
      <w:r w:rsidR="00600045" w:rsidRPr="00A54A54">
        <w:rPr>
          <w:i/>
          <w:iCs/>
        </w:rPr>
        <w:t>The New Woman: Literary Modernism, Queer Theory, and the Trans Feminine Allegory</w:t>
      </w:r>
      <w:r w:rsidR="00600045" w:rsidRPr="00A54A54">
        <w:t xml:space="preserve"> (2017)</w:t>
      </w:r>
    </w:p>
    <w:p w14:paraId="14956240" w14:textId="77777777" w:rsidR="003C1A07" w:rsidRPr="00A54A54" w:rsidRDefault="003C1A07" w:rsidP="003C1A07"/>
    <w:p w14:paraId="41E6E10E" w14:textId="77777777" w:rsidR="003C1A07" w:rsidRPr="00A54A54" w:rsidRDefault="003C1A07" w:rsidP="003A4A1D">
      <w:pPr>
        <w:spacing w:before="120"/>
        <w:rPr>
          <w:b/>
          <w:bCs/>
        </w:rPr>
      </w:pPr>
      <w:r w:rsidRPr="00A54A54">
        <w:rPr>
          <w:b/>
          <w:bCs/>
        </w:rPr>
        <w:t xml:space="preserve">Week 13: “A Voice from the South, By a Black Woman of the South” </w:t>
      </w:r>
    </w:p>
    <w:p w14:paraId="5154AB94" w14:textId="77777777" w:rsidR="003C1A07" w:rsidRPr="00A54A54" w:rsidRDefault="003C1A07" w:rsidP="003C1A07">
      <w:pPr>
        <w:rPr>
          <w:b/>
          <w:bCs/>
        </w:rPr>
      </w:pPr>
    </w:p>
    <w:p w14:paraId="38473045" w14:textId="3FF1C5FB" w:rsidR="003C1A07" w:rsidRPr="00A54A54" w:rsidRDefault="003C1A07" w:rsidP="003C1A07">
      <w:pPr>
        <w:pStyle w:val="ListParagraph"/>
        <w:numPr>
          <w:ilvl w:val="0"/>
          <w:numId w:val="2"/>
        </w:numPr>
      </w:pPr>
      <w:r w:rsidRPr="00A54A54">
        <w:t xml:space="preserve">Charlotte Brontë, </w:t>
      </w:r>
      <w:r w:rsidRPr="00A54A54">
        <w:rPr>
          <w:i/>
          <w:iCs/>
        </w:rPr>
        <w:t>Jane Eyre</w:t>
      </w:r>
      <w:r w:rsidRPr="00A54A54">
        <w:t>, ch. XXXV-</w:t>
      </w:r>
      <w:r w:rsidRPr="00A54A54">
        <w:rPr>
          <w:color w:val="000000" w:themeColor="text1"/>
        </w:rPr>
        <w:t>XXXVII</w:t>
      </w:r>
      <w:r w:rsidR="005C3F9E">
        <w:rPr>
          <w:color w:val="000000" w:themeColor="text1"/>
        </w:rPr>
        <w:t>I</w:t>
      </w:r>
    </w:p>
    <w:p w14:paraId="1E13A94D" w14:textId="0E0BDEF3" w:rsidR="003C1A07" w:rsidRPr="00A54A54" w:rsidRDefault="003C1A07" w:rsidP="003C1A07">
      <w:pPr>
        <w:pStyle w:val="ListParagraph"/>
        <w:numPr>
          <w:ilvl w:val="0"/>
          <w:numId w:val="2"/>
        </w:numPr>
      </w:pPr>
      <w:r w:rsidRPr="00A54A54">
        <w:rPr>
          <w:color w:val="000000" w:themeColor="text1"/>
        </w:rPr>
        <w:t>Anna Julia Cooper, “Womanhood: A Vital Element in the Regeneration and Progress of a Race” (1892)</w:t>
      </w:r>
    </w:p>
    <w:p w14:paraId="7874CA32" w14:textId="41C9739B" w:rsidR="00593C25" w:rsidRPr="00454FC3" w:rsidRDefault="00593C25" w:rsidP="00454FC3">
      <w:pPr>
        <w:pStyle w:val="ListParagraph"/>
        <w:numPr>
          <w:ilvl w:val="0"/>
          <w:numId w:val="2"/>
        </w:numPr>
        <w:rPr>
          <w:i/>
          <w:iCs/>
        </w:rPr>
      </w:pPr>
      <w:r w:rsidRPr="00A54A54">
        <w:t xml:space="preserve">Suggested secondary reading: </w:t>
      </w:r>
      <w:r w:rsidRPr="00A54A54">
        <w:rPr>
          <w:color w:val="000000" w:themeColor="text1"/>
        </w:rPr>
        <w:t xml:space="preserve">Saidiya Hartman, excerpts from </w:t>
      </w:r>
      <w:r w:rsidRPr="00A54A54">
        <w:rPr>
          <w:i/>
          <w:iCs/>
        </w:rPr>
        <w:t>Wayward Lives, Beautiful Experiments</w:t>
      </w:r>
      <w:r w:rsidR="00454FC3">
        <w:rPr>
          <w:i/>
          <w:iCs/>
        </w:rPr>
        <w:t xml:space="preserve">: </w:t>
      </w:r>
      <w:r w:rsidR="00454FC3" w:rsidRPr="00454FC3">
        <w:rPr>
          <w:i/>
          <w:iCs/>
        </w:rPr>
        <w:t>Intimate Histories of Riotous Black Girls, Troublesome Women and Queer Radicals</w:t>
      </w:r>
      <w:r w:rsidRPr="00A54A54">
        <w:t xml:space="preserve"> (2019)</w:t>
      </w:r>
      <w:r w:rsidRPr="00454FC3">
        <w:rPr>
          <w:color w:val="000000" w:themeColor="text1"/>
        </w:rPr>
        <w:t xml:space="preserve"> </w:t>
      </w:r>
    </w:p>
    <w:p w14:paraId="7352A777" w14:textId="77777777" w:rsidR="003C1A07" w:rsidRPr="00A54A54" w:rsidRDefault="003C1A07" w:rsidP="003C1A07">
      <w:pPr>
        <w:rPr>
          <w:u w:val="single"/>
        </w:rPr>
      </w:pPr>
    </w:p>
    <w:p w14:paraId="44EF7EC9" w14:textId="609E6F66" w:rsidR="003C1A07" w:rsidRPr="00A54A54" w:rsidRDefault="003C1A07" w:rsidP="003A4A1D">
      <w:pPr>
        <w:spacing w:before="120"/>
        <w:rPr>
          <w:b/>
          <w:bCs/>
        </w:rPr>
      </w:pPr>
      <w:r w:rsidRPr="00A54A54">
        <w:rPr>
          <w:b/>
          <w:bCs/>
        </w:rPr>
        <w:t xml:space="preserve">Week 14: </w:t>
      </w:r>
      <w:r w:rsidR="00EB01EF" w:rsidRPr="00A54A54">
        <w:rPr>
          <w:b/>
          <w:bCs/>
        </w:rPr>
        <w:t>Better Times, Past and Future</w:t>
      </w:r>
    </w:p>
    <w:p w14:paraId="32DFB6EB" w14:textId="77777777" w:rsidR="003C1A07" w:rsidRPr="00A54A54" w:rsidRDefault="003C1A07" w:rsidP="003C1A07"/>
    <w:p w14:paraId="39248927" w14:textId="77777777" w:rsidR="00EB01EF" w:rsidRPr="004171F4" w:rsidRDefault="00EB01EF" w:rsidP="00EB01EF">
      <w:pPr>
        <w:pStyle w:val="ListParagraph"/>
        <w:numPr>
          <w:ilvl w:val="0"/>
          <w:numId w:val="1"/>
        </w:numPr>
      </w:pPr>
      <w:r w:rsidRPr="004171F4">
        <w:t>Toru Dutt, “Savitri” (1882)</w:t>
      </w:r>
    </w:p>
    <w:p w14:paraId="61D990FA" w14:textId="77777777" w:rsidR="003C1A07" w:rsidRPr="004171F4" w:rsidRDefault="003C1A07" w:rsidP="003C1A07">
      <w:pPr>
        <w:pStyle w:val="ListParagraph"/>
        <w:numPr>
          <w:ilvl w:val="0"/>
          <w:numId w:val="1"/>
        </w:numPr>
      </w:pPr>
      <w:r w:rsidRPr="004171F4">
        <w:t>Olive Schreiner, “Three Dreams in a Desert” (1887)</w:t>
      </w:r>
    </w:p>
    <w:p w14:paraId="729BC286" w14:textId="7595C586" w:rsidR="003C1A07" w:rsidRPr="004171F4" w:rsidRDefault="003C1A07" w:rsidP="003C1A07">
      <w:pPr>
        <w:pStyle w:val="ListParagraph"/>
        <w:numPr>
          <w:ilvl w:val="0"/>
          <w:numId w:val="1"/>
        </w:numPr>
      </w:pPr>
      <w:r w:rsidRPr="004171F4">
        <w:rPr>
          <w:color w:val="000000" w:themeColor="text1"/>
        </w:rPr>
        <w:t>Rokeya Sakhawat Hossain, “Sultana’s Dream” (1905)</w:t>
      </w:r>
    </w:p>
    <w:p w14:paraId="0DC78EBC" w14:textId="01880E76" w:rsidR="005D5BEE" w:rsidRPr="004171F4" w:rsidRDefault="005D5BEE" w:rsidP="003C1A07">
      <w:pPr>
        <w:pStyle w:val="ListParagraph"/>
        <w:numPr>
          <w:ilvl w:val="0"/>
          <w:numId w:val="1"/>
        </w:numPr>
      </w:pPr>
      <w:r w:rsidRPr="004171F4">
        <w:t>Suggested secondary reading: Sukanya Banerjee, “Transimperial” (2018)</w:t>
      </w:r>
      <w:r w:rsidR="00674DF3">
        <w:t xml:space="preserve"> and</w:t>
      </w:r>
      <w:r w:rsidR="009D746E" w:rsidRPr="004171F4">
        <w:t xml:space="preserve"> Kyla Schuller, excerpts from </w:t>
      </w:r>
      <w:r w:rsidR="009D746E" w:rsidRPr="004171F4">
        <w:rPr>
          <w:i/>
          <w:iCs/>
        </w:rPr>
        <w:t>The Trouble with White Women</w:t>
      </w:r>
      <w:r w:rsidR="00454FC3">
        <w:rPr>
          <w:i/>
          <w:iCs/>
        </w:rPr>
        <w:t>: A Counterhistory of Feminism</w:t>
      </w:r>
      <w:r w:rsidR="009D746E" w:rsidRPr="004171F4">
        <w:t xml:space="preserve"> (2021)</w:t>
      </w:r>
    </w:p>
    <w:p w14:paraId="5C828A9C" w14:textId="77777777" w:rsidR="003C1A07" w:rsidRDefault="003C1A07" w:rsidP="003C1A07">
      <w:pPr>
        <w:rPr>
          <w:b/>
          <w:bCs/>
        </w:rPr>
      </w:pPr>
    </w:p>
    <w:p w14:paraId="3D2657C3" w14:textId="0301B507" w:rsidR="00896F38" w:rsidRPr="00896F38" w:rsidRDefault="00E961D4" w:rsidP="00896F38">
      <w:r w:rsidRPr="1A7B21A1">
        <w:rPr>
          <w:i/>
          <w:iCs/>
        </w:rPr>
        <w:t xml:space="preserve">Note: </w:t>
      </w:r>
      <w:r w:rsidR="003C1A07" w:rsidRPr="1A7B21A1">
        <w:rPr>
          <w:i/>
          <w:iCs/>
        </w:rPr>
        <w:t xml:space="preserve">In our final </w:t>
      </w:r>
      <w:r w:rsidR="00F1280C" w:rsidRPr="1A7B21A1">
        <w:rPr>
          <w:i/>
          <w:iCs/>
        </w:rPr>
        <w:t>three</w:t>
      </w:r>
      <w:r w:rsidR="003C1A07" w:rsidRPr="1A7B21A1">
        <w:rPr>
          <w:i/>
          <w:iCs/>
        </w:rPr>
        <w:t xml:space="preserve"> weeks, we </w:t>
      </w:r>
      <w:r w:rsidR="00290CC6">
        <w:rPr>
          <w:i/>
          <w:iCs/>
        </w:rPr>
        <w:t>undertake</w:t>
      </w:r>
      <w:r w:rsidR="003C1A07" w:rsidRPr="1A7B21A1">
        <w:rPr>
          <w:i/>
          <w:iCs/>
        </w:rPr>
        <w:t xml:space="preserve"> a comparative study of the global New Woman </w:t>
      </w:r>
      <w:r w:rsidR="00DF7235">
        <w:rPr>
          <w:i/>
          <w:iCs/>
        </w:rPr>
        <w:t>across</w:t>
      </w:r>
      <w:r w:rsidR="003C1A07" w:rsidRPr="1A7B21A1">
        <w:rPr>
          <w:i/>
          <w:iCs/>
        </w:rPr>
        <w:t xml:space="preserve"> British,</w:t>
      </w:r>
      <w:r w:rsidR="00411B35">
        <w:rPr>
          <w:i/>
          <w:iCs/>
        </w:rPr>
        <w:t xml:space="preserve"> Irish,</w:t>
      </w:r>
      <w:r w:rsidR="003C1A07" w:rsidRPr="1A7B21A1">
        <w:rPr>
          <w:i/>
          <w:iCs/>
        </w:rPr>
        <w:t xml:space="preserve"> </w:t>
      </w:r>
      <w:r w:rsidR="00AE06E8" w:rsidRPr="1A7B21A1">
        <w:rPr>
          <w:i/>
          <w:iCs/>
        </w:rPr>
        <w:t>American</w:t>
      </w:r>
      <w:r w:rsidR="00AE06E8">
        <w:rPr>
          <w:i/>
          <w:iCs/>
        </w:rPr>
        <w:t xml:space="preserve">, </w:t>
      </w:r>
      <w:r w:rsidR="003C1A07" w:rsidRPr="1A7B21A1">
        <w:rPr>
          <w:i/>
          <w:iCs/>
        </w:rPr>
        <w:t xml:space="preserve">South African, and Indian contexts. The unit opens </w:t>
      </w:r>
      <w:r w:rsidR="004310E9" w:rsidRPr="1A7B21A1">
        <w:rPr>
          <w:i/>
          <w:iCs/>
        </w:rPr>
        <w:t xml:space="preserve">with the debates that </w:t>
      </w:r>
      <w:r w:rsidR="003469EE">
        <w:rPr>
          <w:i/>
          <w:iCs/>
        </w:rPr>
        <w:t>spawned</w:t>
      </w:r>
      <w:r w:rsidR="004310E9" w:rsidRPr="1A7B21A1">
        <w:rPr>
          <w:i/>
          <w:iCs/>
        </w:rPr>
        <w:t xml:space="preserve"> the term “New Woman” and with conventional</w:t>
      </w:r>
      <w:r w:rsidR="003C1A07" w:rsidRPr="1A7B21A1">
        <w:rPr>
          <w:i/>
          <w:iCs/>
        </w:rPr>
        <w:t xml:space="preserve"> literary </w:t>
      </w:r>
      <w:r w:rsidR="00AB7C1D" w:rsidRPr="1A7B21A1">
        <w:rPr>
          <w:i/>
          <w:iCs/>
        </w:rPr>
        <w:t xml:space="preserve">treatments, </w:t>
      </w:r>
      <w:r w:rsidR="003C1A07" w:rsidRPr="1A7B21A1">
        <w:rPr>
          <w:i/>
          <w:iCs/>
        </w:rPr>
        <w:t>themes</w:t>
      </w:r>
      <w:r w:rsidR="00AB7C1D" w:rsidRPr="1A7B21A1">
        <w:rPr>
          <w:i/>
          <w:iCs/>
        </w:rPr>
        <w:t>,</w:t>
      </w:r>
      <w:r w:rsidR="00D92363" w:rsidRPr="1A7B21A1">
        <w:rPr>
          <w:i/>
          <w:iCs/>
        </w:rPr>
        <w:t xml:space="preserve"> and tropes</w:t>
      </w:r>
      <w:r w:rsidR="003C1A07" w:rsidRPr="1A7B21A1">
        <w:rPr>
          <w:i/>
          <w:iCs/>
        </w:rPr>
        <w:t xml:space="preserve"> of </w:t>
      </w:r>
      <w:r w:rsidR="006A12BE">
        <w:rPr>
          <w:i/>
          <w:iCs/>
        </w:rPr>
        <w:t xml:space="preserve">its associated literary </w:t>
      </w:r>
      <w:r w:rsidR="004310E9" w:rsidRPr="1A7B21A1">
        <w:rPr>
          <w:i/>
          <w:iCs/>
        </w:rPr>
        <w:t>genre</w:t>
      </w:r>
      <w:r w:rsidR="00AB7C1D" w:rsidRPr="1A7B21A1">
        <w:rPr>
          <w:i/>
          <w:iCs/>
        </w:rPr>
        <w:t xml:space="preserve">, </w:t>
      </w:r>
      <w:r w:rsidR="006A12BE">
        <w:rPr>
          <w:i/>
          <w:iCs/>
        </w:rPr>
        <w:t xml:space="preserve">including </w:t>
      </w:r>
      <w:r w:rsidR="00E236D1">
        <w:rPr>
          <w:i/>
          <w:iCs/>
        </w:rPr>
        <w:t>a</w:t>
      </w:r>
      <w:r w:rsidR="00912BED">
        <w:rPr>
          <w:i/>
          <w:iCs/>
        </w:rPr>
        <w:t xml:space="preserve"> </w:t>
      </w:r>
      <w:r w:rsidR="006A12BE">
        <w:rPr>
          <w:i/>
          <w:iCs/>
        </w:rPr>
        <w:t>common emphasis on the</w:t>
      </w:r>
      <w:r w:rsidR="003C1A07" w:rsidRPr="1A7B21A1">
        <w:rPr>
          <w:i/>
          <w:iCs/>
        </w:rPr>
        <w:t xml:space="preserve"> tragic misfit between modern women and their societies. In </w:t>
      </w:r>
      <w:r w:rsidR="00AB7C1D" w:rsidRPr="1A7B21A1">
        <w:rPr>
          <w:i/>
          <w:iCs/>
        </w:rPr>
        <w:t>week 12</w:t>
      </w:r>
      <w:r w:rsidR="003C1A07" w:rsidRPr="1A7B21A1">
        <w:rPr>
          <w:i/>
          <w:iCs/>
        </w:rPr>
        <w:t xml:space="preserve">, we explore </w:t>
      </w:r>
      <w:r w:rsidR="006121DD">
        <w:rPr>
          <w:i/>
          <w:iCs/>
        </w:rPr>
        <w:t>representations</w:t>
      </w:r>
      <w:r w:rsidR="00D30E8B">
        <w:rPr>
          <w:i/>
          <w:iCs/>
        </w:rPr>
        <w:t xml:space="preserve"> of </w:t>
      </w:r>
      <w:r w:rsidR="003B7C96" w:rsidRPr="1A7B21A1">
        <w:rPr>
          <w:i/>
          <w:iCs/>
        </w:rPr>
        <w:t>homosexuality and gender nonconformity</w:t>
      </w:r>
      <w:r w:rsidR="00AB7C1D" w:rsidRPr="1A7B21A1">
        <w:rPr>
          <w:i/>
          <w:iCs/>
        </w:rPr>
        <w:t xml:space="preserve"> through the poetry of Amy</w:t>
      </w:r>
      <w:r w:rsidR="003C1A07" w:rsidRPr="1A7B21A1">
        <w:rPr>
          <w:i/>
          <w:iCs/>
        </w:rPr>
        <w:t xml:space="preserve"> Levy</w:t>
      </w:r>
      <w:r w:rsidR="00AB7C1D" w:rsidRPr="1A7B21A1">
        <w:rPr>
          <w:i/>
          <w:iCs/>
        </w:rPr>
        <w:t xml:space="preserve"> and Emma Heaney’s recent </w:t>
      </w:r>
      <w:r w:rsidR="005202BC">
        <w:rPr>
          <w:i/>
          <w:iCs/>
        </w:rPr>
        <w:t>account</w:t>
      </w:r>
      <w:r w:rsidR="00AB7C1D" w:rsidRPr="1A7B21A1">
        <w:rPr>
          <w:i/>
          <w:iCs/>
        </w:rPr>
        <w:t xml:space="preserve"> of the queer</w:t>
      </w:r>
      <w:r w:rsidR="10030619" w:rsidRPr="1A7B21A1">
        <w:rPr>
          <w:i/>
          <w:iCs/>
        </w:rPr>
        <w:t xml:space="preserve"> and</w:t>
      </w:r>
      <w:r w:rsidR="00AB7C1D" w:rsidRPr="1A7B21A1">
        <w:rPr>
          <w:i/>
          <w:iCs/>
        </w:rPr>
        <w:t xml:space="preserve"> trans-feminine New Woman. </w:t>
      </w:r>
      <w:r w:rsidR="00E57B51" w:rsidRPr="1A7B21A1">
        <w:rPr>
          <w:i/>
          <w:iCs/>
        </w:rPr>
        <w:t xml:space="preserve">In the final two weeks, we </w:t>
      </w:r>
      <w:r w:rsidR="00790099" w:rsidRPr="1A7B21A1">
        <w:rPr>
          <w:i/>
          <w:iCs/>
        </w:rPr>
        <w:t>identify</w:t>
      </w:r>
      <w:r w:rsidR="00E57B51" w:rsidRPr="1A7B21A1">
        <w:rPr>
          <w:i/>
          <w:iCs/>
        </w:rPr>
        <w:t xml:space="preserve"> alternative global </w:t>
      </w:r>
      <w:r w:rsidR="001735F4">
        <w:rPr>
          <w:i/>
          <w:iCs/>
        </w:rPr>
        <w:t>depictions</w:t>
      </w:r>
      <w:r w:rsidR="00790099" w:rsidRPr="1A7B21A1">
        <w:rPr>
          <w:i/>
          <w:iCs/>
        </w:rPr>
        <w:t xml:space="preserve"> of New Wom</w:t>
      </w:r>
      <w:r w:rsidR="0031075B">
        <w:rPr>
          <w:i/>
          <w:iCs/>
        </w:rPr>
        <w:t>e</w:t>
      </w:r>
      <w:r w:rsidR="00790099" w:rsidRPr="1A7B21A1">
        <w:rPr>
          <w:i/>
          <w:iCs/>
        </w:rPr>
        <w:t>n</w:t>
      </w:r>
      <w:r w:rsidR="00192EF7" w:rsidRPr="1A7B21A1">
        <w:rPr>
          <w:i/>
          <w:iCs/>
        </w:rPr>
        <w:t xml:space="preserve"> and uses of</w:t>
      </w:r>
      <w:r w:rsidR="00790099" w:rsidRPr="1A7B21A1">
        <w:rPr>
          <w:i/>
          <w:iCs/>
        </w:rPr>
        <w:t xml:space="preserve"> literature to </w:t>
      </w:r>
      <w:r w:rsidR="00AB7C1D" w:rsidRPr="1A7B21A1">
        <w:rPr>
          <w:i/>
          <w:iCs/>
        </w:rPr>
        <w:t>elevat</w:t>
      </w:r>
      <w:r w:rsidR="00790099" w:rsidRPr="1A7B21A1">
        <w:rPr>
          <w:i/>
          <w:iCs/>
        </w:rPr>
        <w:t>e</w:t>
      </w:r>
      <w:r w:rsidR="00AB7C1D" w:rsidRPr="1A7B21A1">
        <w:rPr>
          <w:i/>
          <w:iCs/>
        </w:rPr>
        <w:t xml:space="preserve"> earlier eras, promot</w:t>
      </w:r>
      <w:r w:rsidR="00790099" w:rsidRPr="1A7B21A1">
        <w:rPr>
          <w:i/>
          <w:iCs/>
        </w:rPr>
        <w:t>e</w:t>
      </w:r>
      <w:r w:rsidR="00AB7C1D" w:rsidRPr="1A7B21A1">
        <w:rPr>
          <w:i/>
          <w:iCs/>
        </w:rPr>
        <w:t xml:space="preserve"> social progress, </w:t>
      </w:r>
      <w:r w:rsidR="00215D2D">
        <w:rPr>
          <w:i/>
          <w:iCs/>
        </w:rPr>
        <w:t>or</w:t>
      </w:r>
      <w:r w:rsidR="00AB7C1D" w:rsidRPr="1A7B21A1">
        <w:rPr>
          <w:i/>
          <w:iCs/>
        </w:rPr>
        <w:t xml:space="preserve"> envision utopia</w:t>
      </w:r>
      <w:r w:rsidR="003C1A07" w:rsidRPr="1A7B21A1">
        <w:rPr>
          <w:i/>
          <w:iCs/>
        </w:rPr>
        <w:t xml:space="preserve">. </w:t>
      </w:r>
      <w:r w:rsidR="007828C5" w:rsidRPr="1A7B21A1">
        <w:rPr>
          <w:i/>
          <w:iCs/>
        </w:rPr>
        <w:t xml:space="preserve">The course concludes by asking students to consider the lingering ramifications of nineteenth-century cultural practices, </w:t>
      </w:r>
      <w:r w:rsidR="00C950F3">
        <w:rPr>
          <w:i/>
          <w:iCs/>
        </w:rPr>
        <w:t xml:space="preserve">forms, and </w:t>
      </w:r>
      <w:r w:rsidR="007828C5" w:rsidRPr="1A7B21A1">
        <w:rPr>
          <w:i/>
          <w:iCs/>
        </w:rPr>
        <w:t xml:space="preserve">ideals, </w:t>
      </w:r>
      <w:r w:rsidR="00C950F3">
        <w:rPr>
          <w:i/>
          <w:iCs/>
        </w:rPr>
        <w:t>as well as</w:t>
      </w:r>
      <w:r w:rsidR="007828C5" w:rsidRPr="1A7B21A1">
        <w:rPr>
          <w:i/>
          <w:iCs/>
        </w:rPr>
        <w:t xml:space="preserve"> the contemporary state of global feminist movements. </w:t>
      </w:r>
      <w:r w:rsidR="00AB2756">
        <w:rPr>
          <w:i/>
          <w:iCs/>
        </w:rPr>
        <w:t>Here</w:t>
      </w:r>
      <w:r w:rsidR="007828C5" w:rsidRPr="1A7B21A1">
        <w:rPr>
          <w:i/>
          <w:iCs/>
        </w:rPr>
        <w:t xml:space="preserve"> Kyla Schuller’s </w:t>
      </w:r>
      <w:r w:rsidR="002B0120">
        <w:rPr>
          <w:i/>
          <w:iCs/>
        </w:rPr>
        <w:t xml:space="preserve">(forthcoming) </w:t>
      </w:r>
      <w:r w:rsidR="007828C5" w:rsidRPr="1A7B21A1">
        <w:rPr>
          <w:i/>
          <w:iCs/>
        </w:rPr>
        <w:t>alternative history of non-white feminism</w:t>
      </w:r>
      <w:r w:rsidR="00000342">
        <w:rPr>
          <w:i/>
          <w:iCs/>
        </w:rPr>
        <w:t xml:space="preserve"> may </w:t>
      </w:r>
      <w:r w:rsidR="0019119B">
        <w:rPr>
          <w:i/>
          <w:iCs/>
        </w:rPr>
        <w:t>prove</w:t>
      </w:r>
      <w:r w:rsidR="00000342">
        <w:rPr>
          <w:i/>
          <w:iCs/>
        </w:rPr>
        <w:t xml:space="preserve"> </w:t>
      </w:r>
      <w:r w:rsidR="00983BC5">
        <w:rPr>
          <w:i/>
          <w:iCs/>
        </w:rPr>
        <w:t>a</w:t>
      </w:r>
      <w:r w:rsidR="0008387F">
        <w:rPr>
          <w:i/>
          <w:iCs/>
        </w:rPr>
        <w:t xml:space="preserve"> salient</w:t>
      </w:r>
      <w:r w:rsidR="00000342">
        <w:rPr>
          <w:i/>
          <w:iCs/>
        </w:rPr>
        <w:t xml:space="preserve"> secondary </w:t>
      </w:r>
      <w:r w:rsidR="003205EA">
        <w:rPr>
          <w:i/>
          <w:iCs/>
        </w:rPr>
        <w:t>re</w:t>
      </w:r>
      <w:r w:rsidR="00000342">
        <w:rPr>
          <w:i/>
          <w:iCs/>
        </w:rPr>
        <w:t>source</w:t>
      </w:r>
      <w:r w:rsidR="009D3DB1">
        <w:rPr>
          <w:i/>
          <w:iCs/>
        </w:rPr>
        <w:t>.</w:t>
      </w:r>
      <w:r w:rsidR="007828C5" w:rsidRPr="1A7B21A1">
        <w:rPr>
          <w:i/>
          <w:iCs/>
        </w:rPr>
        <w:t xml:space="preserve"> </w:t>
      </w:r>
      <w:r w:rsidR="009D3DB1">
        <w:rPr>
          <w:i/>
          <w:iCs/>
        </w:rPr>
        <w:t>Last fall</w:t>
      </w:r>
      <w:r w:rsidR="007828C5" w:rsidRPr="1A7B21A1">
        <w:rPr>
          <w:i/>
          <w:iCs/>
        </w:rPr>
        <w:t xml:space="preserve">, in an especially popular </w:t>
      </w:r>
      <w:r w:rsidR="00A803F0" w:rsidRPr="1A7B21A1">
        <w:rPr>
          <w:i/>
          <w:iCs/>
        </w:rPr>
        <w:t>session</w:t>
      </w:r>
      <w:r w:rsidR="007828C5" w:rsidRPr="1A7B21A1">
        <w:rPr>
          <w:i/>
          <w:iCs/>
        </w:rPr>
        <w:t xml:space="preserve">, </w:t>
      </w:r>
      <w:r w:rsidR="00113AC8">
        <w:rPr>
          <w:i/>
          <w:iCs/>
        </w:rPr>
        <w:t xml:space="preserve">my students and I </w:t>
      </w:r>
      <w:r w:rsidR="00C905C8">
        <w:rPr>
          <w:i/>
          <w:iCs/>
        </w:rPr>
        <w:t>examined</w:t>
      </w:r>
      <w:r w:rsidR="007828C5" w:rsidRPr="1A7B21A1">
        <w:rPr>
          <w:i/>
          <w:iCs/>
        </w:rPr>
        <w:t xml:space="preserve"> </w:t>
      </w:r>
      <w:r w:rsidR="00A803F0" w:rsidRPr="1A7B21A1">
        <w:rPr>
          <w:i/>
          <w:iCs/>
        </w:rPr>
        <w:t>newly erected monuments to Mary Wollstonecraft (Newington Green, London, 2020) and Susan B. Anthony, Elizabeth Cady Stanton, and Sojourner Truth (Central Park, NYC, 2020)</w:t>
      </w:r>
      <w:r w:rsidR="00D1247F" w:rsidRPr="1A7B21A1">
        <w:rPr>
          <w:i/>
          <w:iCs/>
        </w:rPr>
        <w:t xml:space="preserve"> </w:t>
      </w:r>
      <w:r w:rsidR="00A803F0" w:rsidRPr="1A7B21A1">
        <w:rPr>
          <w:i/>
          <w:iCs/>
        </w:rPr>
        <w:t>and the controversies that unfolded around their design</w:t>
      </w:r>
      <w:r w:rsidR="00031BEA">
        <w:rPr>
          <w:i/>
          <w:iCs/>
        </w:rPr>
        <w:t>, opening a dialogue about</w:t>
      </w:r>
      <w:r w:rsidR="00A803F0" w:rsidRPr="1A7B21A1">
        <w:rPr>
          <w:i/>
          <w:iCs/>
        </w:rPr>
        <w:t xml:space="preserve"> how the contributions of historically significant figures get perpetuated, challenged, or reevaluated</w:t>
      </w:r>
      <w:r w:rsidR="00031BEA">
        <w:rPr>
          <w:i/>
          <w:iCs/>
        </w:rPr>
        <w:t>, today,</w:t>
      </w:r>
      <w:r w:rsidR="00A803F0" w:rsidRPr="1A7B21A1">
        <w:rPr>
          <w:i/>
          <w:iCs/>
        </w:rPr>
        <w:t xml:space="preserve"> in contested public legacies and memorials</w:t>
      </w:r>
      <w:r w:rsidR="00A803F0">
        <w:t>.</w:t>
      </w:r>
    </w:p>
    <w:p w14:paraId="3BD7088E" w14:textId="77777777" w:rsidR="00896F38" w:rsidRDefault="00896F38" w:rsidP="00896F38">
      <w:pPr>
        <w:rPr>
          <w:b/>
          <w:bCs/>
        </w:rPr>
      </w:pPr>
      <w:r>
        <w:rPr>
          <w:b/>
          <w:bCs/>
        </w:rPr>
        <w:br w:type="page"/>
      </w:r>
    </w:p>
    <w:p w14:paraId="5140FD4D" w14:textId="021A08FA" w:rsidR="003C1A07" w:rsidRPr="0072344F" w:rsidRDefault="003C1A07" w:rsidP="003C1A07">
      <w:pPr>
        <w:jc w:val="center"/>
      </w:pPr>
      <w:r>
        <w:rPr>
          <w:b/>
          <w:bCs/>
        </w:rPr>
        <w:lastRenderedPageBreak/>
        <w:t xml:space="preserve">Sample </w:t>
      </w:r>
      <w:r w:rsidRPr="0072344F">
        <w:rPr>
          <w:b/>
          <w:bCs/>
        </w:rPr>
        <w:t>Assignments</w:t>
      </w:r>
    </w:p>
    <w:p w14:paraId="45425953" w14:textId="77777777" w:rsidR="003C1A07" w:rsidRDefault="003C1A07" w:rsidP="003C1A07">
      <w:pPr>
        <w:ind w:left="1080"/>
        <w:jc w:val="both"/>
      </w:pPr>
    </w:p>
    <w:p w14:paraId="1D69A3A4" w14:textId="77777777" w:rsidR="003C1A07" w:rsidRPr="001C3595" w:rsidRDefault="003C1A07" w:rsidP="003C1A07">
      <w:pPr>
        <w:jc w:val="both"/>
      </w:pPr>
      <w:r w:rsidRPr="001C3595">
        <w:rPr>
          <w:rStyle w:val="normaltextrun"/>
          <w:rFonts w:cs="Segoe UI"/>
          <w:b/>
          <w:bCs/>
          <w:color w:val="000000"/>
        </w:rPr>
        <w:t>Commonplace Book </w:t>
      </w:r>
      <w:r>
        <w:rPr>
          <w:rStyle w:val="normaltextrun"/>
          <w:rFonts w:cs="Segoe UI"/>
          <w:b/>
          <w:bCs/>
          <w:color w:val="000000"/>
        </w:rPr>
        <w:t>Entries/Annotations</w:t>
      </w:r>
      <w:r w:rsidRPr="001C3595">
        <w:rPr>
          <w:rStyle w:val="eop"/>
          <w:rFonts w:cs="Segoe UI"/>
          <w:color w:val="000000"/>
        </w:rPr>
        <w:t> </w:t>
      </w:r>
      <w:r w:rsidRPr="001C3595">
        <w:rPr>
          <w:rStyle w:val="eop"/>
          <w:rFonts w:cs="Segoe UI"/>
          <w:b/>
          <w:bCs/>
          <w:color w:val="000000"/>
        </w:rPr>
        <w:t>(15%)</w:t>
      </w:r>
    </w:p>
    <w:p w14:paraId="78B77FED" w14:textId="77777777" w:rsidR="003C1A07" w:rsidRDefault="003C1A07" w:rsidP="003C1A07">
      <w:pPr>
        <w:pStyle w:val="paragraph"/>
        <w:spacing w:before="0" w:beforeAutospacing="0" w:after="0" w:afterAutospacing="0"/>
        <w:jc w:val="center"/>
        <w:textAlignment w:val="baseline"/>
        <w:rPr>
          <w:rFonts w:ascii="Segoe UI" w:hAnsi="Segoe UI" w:cs="Segoe UI"/>
          <w:sz w:val="18"/>
          <w:szCs w:val="18"/>
        </w:rPr>
      </w:pPr>
      <w:r>
        <w:rPr>
          <w:rStyle w:val="eop"/>
          <w:rFonts w:ascii="Garamond" w:hAnsi="Garamond" w:cs="Segoe UI"/>
          <w:color w:val="000000"/>
        </w:rPr>
        <w:t> </w:t>
      </w:r>
    </w:p>
    <w:p w14:paraId="32B38D87" w14:textId="31CDC444" w:rsidR="003C1A07" w:rsidRDefault="003C1A07" w:rsidP="003C1A07">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rPr>
        <w:t xml:space="preserve">This class will participate in the creation of commonplace books: a favored activity of many </w:t>
      </w:r>
      <w:r w:rsidR="007B20A6">
        <w:rPr>
          <w:rStyle w:val="normaltextrun"/>
          <w:rFonts w:ascii="Garamond" w:hAnsi="Garamond" w:cs="Segoe UI"/>
        </w:rPr>
        <w:t xml:space="preserve">nineteenth-century </w:t>
      </w:r>
      <w:r>
        <w:rPr>
          <w:rStyle w:val="normaltextrun"/>
          <w:rFonts w:ascii="Garamond" w:hAnsi="Garamond" w:cs="Segoe UI"/>
        </w:rPr>
        <w:t xml:space="preserve">women. Commonplace books most commonly served as repositories for passages of text readers found meaningful and wanted to preserve for posterity. We will retain this function, but also expand upon it: your commonplace entries will ground our class discussion, enable us all to track themes and topics that connect and differentiate our course texts, and serve as a common study guide that will facilitate your development of the final essay. </w:t>
      </w:r>
    </w:p>
    <w:p w14:paraId="2D493336" w14:textId="77777777" w:rsidR="003C1A07" w:rsidRDefault="003C1A07" w:rsidP="003C1A07">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rPr>
        <w:t> </w:t>
      </w:r>
    </w:p>
    <w:p w14:paraId="6C3E56D0" w14:textId="77777777" w:rsidR="003C1A07" w:rsidRPr="004557BB" w:rsidRDefault="003C1A07" w:rsidP="003C1A07">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rPr>
        <w:t>From any of the non-Brontë readings for a given class session, select a passage that strikes you as significant: intriguing, surprising, puzzling, personally meaningful, etc. Make sure that your chosen passage is substantial enough to invite detailed analysis, since you will be adding at least </w:t>
      </w:r>
      <w:r w:rsidRPr="004D58A5">
        <w:rPr>
          <w:rStyle w:val="normaltextrun"/>
          <w:rFonts w:ascii="Garamond" w:hAnsi="Garamond" w:cs="Segoe UI"/>
          <w:u w:val="single"/>
        </w:rPr>
        <w:t>three</w:t>
      </w:r>
      <w:r>
        <w:rPr>
          <w:rStyle w:val="normaltextrun"/>
          <w:rFonts w:ascii="Garamond" w:hAnsi="Garamond" w:cs="Segoe UI"/>
          <w:u w:val="single"/>
        </w:rPr>
        <w:t xml:space="preserve"> </w:t>
      </w:r>
      <w:r w:rsidRPr="004557BB">
        <w:rPr>
          <w:rStyle w:val="normaltextrun"/>
          <w:rFonts w:ascii="Garamond" w:hAnsi="Garamond" w:cs="Segoe UI"/>
        </w:rPr>
        <w:t>substantive close-reading annotations (interpretations, analyses, questions, etc.) to it. However, your passage should be focused: the amount of text should not be longer than needed to highlight three annotations, and the annotations should be specific to the word, device, line, or sentence to which they are appended. For a poem, a few lines or short stanza will often suffice; for prose, no more than a paragraph is usually necessary. Just below the annotations, you should add three keywords (that address properties of the passage: thematic, formal, etc.), to facilitate the searches everyone will conduct when preparing the final essay prospectus. These keyword terms must also be added to a common index at the bottom of the page.</w:t>
      </w:r>
      <w:r w:rsidRPr="004557BB">
        <w:rPr>
          <w:rStyle w:val="eop"/>
          <w:rFonts w:ascii="Garamond" w:hAnsi="Garamond" w:cs="Segoe UI"/>
        </w:rPr>
        <w:t> </w:t>
      </w:r>
    </w:p>
    <w:p w14:paraId="2E954C3F" w14:textId="77777777" w:rsidR="003C1A07" w:rsidRDefault="003C1A07" w:rsidP="003C1A07">
      <w:pPr>
        <w:pStyle w:val="paragraph"/>
        <w:spacing w:before="0" w:beforeAutospacing="0" w:after="0" w:afterAutospacing="0"/>
        <w:textAlignment w:val="baseline"/>
        <w:rPr>
          <w:rFonts w:ascii="Segoe UI" w:hAnsi="Segoe UI" w:cs="Segoe UI"/>
          <w:sz w:val="18"/>
          <w:szCs w:val="18"/>
        </w:rPr>
      </w:pPr>
      <w:r>
        <w:rPr>
          <w:rStyle w:val="eop"/>
          <w:rFonts w:ascii="Garamond" w:hAnsi="Garamond" w:cs="Segoe UI"/>
        </w:rPr>
        <w:t> </w:t>
      </w:r>
    </w:p>
    <w:p w14:paraId="309AC8E8" w14:textId="2F763243" w:rsidR="003C1A07" w:rsidRDefault="003C1A07" w:rsidP="003C1A07">
      <w:pPr>
        <w:pStyle w:val="paragraph"/>
        <w:spacing w:before="0" w:beforeAutospacing="0" w:after="0" w:afterAutospacing="0"/>
        <w:textAlignment w:val="baseline"/>
        <w:rPr>
          <w:rStyle w:val="eop"/>
          <w:rFonts w:ascii="Garamond" w:hAnsi="Garamond" w:cs="Segoe UI"/>
        </w:rPr>
      </w:pPr>
      <w:r>
        <w:rPr>
          <w:rStyle w:val="normaltextrun"/>
          <w:rFonts w:ascii="Garamond" w:hAnsi="Garamond" w:cs="Segoe UI"/>
        </w:rPr>
        <w:t>To contribute to the commonplace book, copy your passage of text into our shared Google Doc under the relevant week heading and use comments (and, if you wish, highlights, links, etc.) to add your annotations. List the keywords immediately below the passage </w:t>
      </w:r>
      <w:r>
        <w:rPr>
          <w:rStyle w:val="normaltextrun"/>
          <w:rFonts w:ascii="Garamond" w:hAnsi="Garamond" w:cs="Segoe UI"/>
          <w:i/>
          <w:iCs/>
        </w:rPr>
        <w:t>and</w:t>
      </w:r>
      <w:r>
        <w:rPr>
          <w:rStyle w:val="normaltextrun"/>
          <w:rFonts w:ascii="Garamond" w:hAnsi="Garamond" w:cs="Segoe UI"/>
        </w:rPr>
        <w:t> add them to the Index at the bottom of the page. Be sure to append your name to each entry so that it’s clear who made the contribution and to list the page number from the reading (see my example in the Doc).</w:t>
      </w:r>
      <w:r>
        <w:rPr>
          <w:rStyle w:val="eop"/>
          <w:rFonts w:ascii="Garamond" w:hAnsi="Garamond" w:cs="Segoe UI"/>
        </w:rPr>
        <w:t> </w:t>
      </w:r>
    </w:p>
    <w:p w14:paraId="6472F560" w14:textId="77777777" w:rsidR="00064848" w:rsidRDefault="00064848" w:rsidP="003C1A07">
      <w:pPr>
        <w:pStyle w:val="paragraph"/>
        <w:spacing w:before="0" w:beforeAutospacing="0" w:after="0" w:afterAutospacing="0"/>
        <w:textAlignment w:val="baseline"/>
        <w:rPr>
          <w:rFonts w:ascii="Segoe UI" w:hAnsi="Segoe UI" w:cs="Segoe UI"/>
          <w:sz w:val="18"/>
          <w:szCs w:val="18"/>
        </w:rPr>
      </w:pPr>
    </w:p>
    <w:p w14:paraId="3D1A32B7" w14:textId="77777777" w:rsidR="003C1A07" w:rsidRDefault="003C1A07" w:rsidP="003C1A07">
      <w:pPr>
        <w:pStyle w:val="paragraph"/>
        <w:spacing w:before="0" w:beforeAutospacing="0" w:after="0" w:afterAutospacing="0"/>
        <w:textAlignment w:val="baseline"/>
        <w:rPr>
          <w:rFonts w:ascii="Segoe UI" w:hAnsi="Segoe UI" w:cs="Segoe UI"/>
          <w:sz w:val="18"/>
          <w:szCs w:val="18"/>
        </w:rPr>
      </w:pPr>
      <w:r w:rsidRPr="00A842BC">
        <w:rPr>
          <w:rStyle w:val="normaltextrun"/>
          <w:rFonts w:ascii="Garamond" w:hAnsi="Garamond" w:cs="Segoe UI"/>
        </w:rPr>
        <w:t>Assignment Requirements</w:t>
      </w:r>
      <w:r>
        <w:rPr>
          <w:rStyle w:val="eop"/>
          <w:rFonts w:ascii="Garamond" w:hAnsi="Garamond" w:cs="Segoe UI"/>
        </w:rPr>
        <w:t>:</w:t>
      </w:r>
    </w:p>
    <w:p w14:paraId="3118666E" w14:textId="77777777" w:rsidR="003C1A07" w:rsidRDefault="003C1A07" w:rsidP="003C1A07">
      <w:pPr>
        <w:pStyle w:val="paragraph"/>
        <w:spacing w:before="0" w:beforeAutospacing="0" w:after="0" w:afterAutospacing="0"/>
        <w:textAlignment w:val="baseline"/>
        <w:rPr>
          <w:rFonts w:ascii="Segoe UI" w:hAnsi="Segoe UI" w:cs="Segoe UI"/>
          <w:sz w:val="18"/>
          <w:szCs w:val="18"/>
        </w:rPr>
      </w:pPr>
    </w:p>
    <w:p w14:paraId="101E5C89" w14:textId="77777777" w:rsidR="003C1A07" w:rsidRPr="004D535B" w:rsidRDefault="003C1A07" w:rsidP="003C1A07">
      <w:pPr>
        <w:pStyle w:val="paragraph"/>
        <w:numPr>
          <w:ilvl w:val="0"/>
          <w:numId w:val="14"/>
        </w:numPr>
        <w:spacing w:before="0" w:beforeAutospacing="0" w:after="0" w:afterAutospacing="0"/>
        <w:textAlignment w:val="baseline"/>
        <w:rPr>
          <w:rFonts w:ascii="Segoe UI" w:hAnsi="Segoe UI" w:cs="Segoe UI"/>
          <w:sz w:val="18"/>
          <w:szCs w:val="18"/>
        </w:rPr>
      </w:pPr>
      <w:r w:rsidRPr="004D535B">
        <w:rPr>
          <w:rStyle w:val="normaltextrun"/>
          <w:rFonts w:ascii="Garamond" w:hAnsi="Garamond" w:cs="Segoe UI"/>
        </w:rPr>
        <w:t>Post seven entries to the class commonplace book by no later than November 3. </w:t>
      </w:r>
      <w:r w:rsidRPr="004D535B">
        <w:rPr>
          <w:rStyle w:val="eop"/>
          <w:rFonts w:ascii="Garamond" w:hAnsi="Garamond" w:cs="Segoe UI"/>
        </w:rPr>
        <w:t> </w:t>
      </w:r>
    </w:p>
    <w:p w14:paraId="77D0ADB0" w14:textId="77777777" w:rsidR="003C1A07" w:rsidRDefault="003C1A07" w:rsidP="003C1A07">
      <w:pPr>
        <w:pStyle w:val="paragraph"/>
        <w:numPr>
          <w:ilvl w:val="0"/>
          <w:numId w:val="14"/>
        </w:numPr>
        <w:spacing w:before="0" w:beforeAutospacing="0" w:after="0" w:afterAutospacing="0"/>
        <w:textAlignment w:val="baseline"/>
        <w:rPr>
          <w:rFonts w:ascii="Segoe UI" w:hAnsi="Segoe UI" w:cs="Segoe UI"/>
          <w:sz w:val="18"/>
          <w:szCs w:val="18"/>
        </w:rPr>
      </w:pPr>
      <w:r w:rsidRPr="004D535B">
        <w:rPr>
          <w:rStyle w:val="normaltextrun"/>
          <w:rFonts w:ascii="Garamond" w:hAnsi="Garamond" w:cs="Segoe UI"/>
        </w:rPr>
        <w:t>Submit each entry by 8am on the day we’re discussing that text in class</w:t>
      </w:r>
      <w:r w:rsidRPr="00BE27BD">
        <w:rPr>
          <w:rStyle w:val="normaltextrun"/>
          <w:rFonts w:ascii="Garamond" w:hAnsi="Garamond" w:cs="Segoe UI"/>
        </w:rPr>
        <w:t>. </w:t>
      </w:r>
      <w:r w:rsidRPr="00BE27BD">
        <w:rPr>
          <w:rStyle w:val="eop"/>
          <w:rFonts w:ascii="Garamond" w:hAnsi="Garamond" w:cs="Segoe UI"/>
        </w:rPr>
        <w:t> </w:t>
      </w:r>
    </w:p>
    <w:p w14:paraId="1BA42270" w14:textId="77777777" w:rsidR="003C1A07" w:rsidRPr="00BE27BD" w:rsidRDefault="003C1A07" w:rsidP="003C1A07">
      <w:pPr>
        <w:pStyle w:val="paragraph"/>
        <w:numPr>
          <w:ilvl w:val="0"/>
          <w:numId w:val="14"/>
        </w:numPr>
        <w:spacing w:before="0" w:beforeAutospacing="0" w:after="0" w:afterAutospacing="0"/>
        <w:textAlignment w:val="baseline"/>
        <w:rPr>
          <w:rFonts w:ascii="Segoe UI" w:hAnsi="Segoe UI" w:cs="Segoe UI"/>
          <w:sz w:val="18"/>
          <w:szCs w:val="18"/>
        </w:rPr>
      </w:pPr>
      <w:r>
        <w:rPr>
          <w:rStyle w:val="normaltextrun"/>
          <w:rFonts w:ascii="Garamond" w:hAnsi="Garamond" w:cs="Segoe UI"/>
        </w:rPr>
        <w:t>Each student should create no more than one entry</w:t>
      </w:r>
      <w:r w:rsidRPr="00BE27BD">
        <w:rPr>
          <w:rStyle w:val="normaltextrun"/>
          <w:rFonts w:ascii="Garamond" w:hAnsi="Garamond" w:cs="Segoe UI"/>
        </w:rPr>
        <w:t xml:space="preserve"> for each author, to maximize the number of </w:t>
      </w:r>
      <w:r>
        <w:rPr>
          <w:rStyle w:val="normaltextrun"/>
          <w:rFonts w:ascii="Garamond" w:hAnsi="Garamond" w:cs="Segoe UI"/>
        </w:rPr>
        <w:t>writer</w:t>
      </w:r>
      <w:r w:rsidRPr="00BE27BD">
        <w:rPr>
          <w:rStyle w:val="normaltextrun"/>
          <w:rFonts w:ascii="Garamond" w:hAnsi="Garamond" w:cs="Segoe UI"/>
        </w:rPr>
        <w:t xml:space="preserve">s </w:t>
      </w:r>
      <w:r>
        <w:rPr>
          <w:rStyle w:val="normaltextrun"/>
          <w:rFonts w:ascii="Garamond" w:hAnsi="Garamond" w:cs="Segoe UI"/>
        </w:rPr>
        <w:t xml:space="preserve">covered. </w:t>
      </w:r>
    </w:p>
    <w:p w14:paraId="02C9F2F1" w14:textId="77777777" w:rsidR="003C1A07" w:rsidRDefault="003C1A07" w:rsidP="003C1A07"/>
    <w:p w14:paraId="1879A945" w14:textId="77777777" w:rsidR="003C1A07" w:rsidRPr="00A842BC" w:rsidRDefault="003C1A07" w:rsidP="0030514C">
      <w:pPr>
        <w:spacing w:before="120"/>
        <w:rPr>
          <w:b/>
          <w:bCs/>
        </w:rPr>
      </w:pPr>
      <w:r w:rsidRPr="00A842BC">
        <w:rPr>
          <w:b/>
          <w:bCs/>
        </w:rPr>
        <w:t>Conduct Guide Midterm Presentation (10%) and Essay (15%)</w:t>
      </w:r>
    </w:p>
    <w:p w14:paraId="0E5F8BDF" w14:textId="77777777" w:rsidR="003C1A07" w:rsidRDefault="003C1A07" w:rsidP="003C1A07"/>
    <w:p w14:paraId="02859F4A" w14:textId="77777777" w:rsidR="003C1A07" w:rsidRDefault="003C1A07" w:rsidP="003C1A07">
      <w:pPr>
        <w:rPr>
          <w:rFonts w:eastAsia="Times New Roman" w:cs="Times New Roman"/>
          <w:color w:val="000000"/>
          <w:shd w:val="clear" w:color="auto" w:fill="FFFFFF"/>
        </w:rPr>
      </w:pPr>
      <w:r w:rsidRPr="00A842BC">
        <w:rPr>
          <w:rFonts w:eastAsia="Times New Roman" w:cs="Times New Roman"/>
          <w:color w:val="000000"/>
          <w:shd w:val="clear" w:color="auto" w:fill="FFFFFF"/>
        </w:rPr>
        <w:t>To understand the conduct guide—a genre widely marketed to women throughout the nineteenth century—our class will form a collaborative research team to study one of the era’s most</w:t>
      </w:r>
      <w:r>
        <w:rPr>
          <w:rFonts w:eastAsia="Times New Roman" w:cs="Times New Roman"/>
          <w:color w:val="000000"/>
          <w:shd w:val="clear" w:color="auto" w:fill="FFFFFF"/>
        </w:rPr>
        <w:t xml:space="preserve"> popular</w:t>
      </w:r>
      <w:r w:rsidRPr="00A842BC">
        <w:rPr>
          <w:rFonts w:eastAsia="Times New Roman" w:cs="Times New Roman"/>
          <w:color w:val="000000"/>
          <w:shd w:val="clear" w:color="auto" w:fill="FFFFFF"/>
        </w:rPr>
        <w:t xml:space="preserve"> guides: Sarah Stickney Ellis’s </w:t>
      </w:r>
      <w:r w:rsidRPr="00A842BC">
        <w:rPr>
          <w:rFonts w:eastAsia="Times New Roman" w:cs="Times New Roman"/>
          <w:i/>
          <w:iCs/>
          <w:color w:val="000000"/>
          <w:shd w:val="clear" w:color="auto" w:fill="FFFFFF"/>
        </w:rPr>
        <w:t>The Daughters of England: Their Position in Society, Character, and Responsibilities</w:t>
      </w:r>
      <w:r w:rsidRPr="00A842BC">
        <w:rPr>
          <w:rFonts w:eastAsia="Times New Roman" w:cs="Times New Roman"/>
          <w:color w:val="000000"/>
          <w:shd w:val="clear" w:color="auto" w:fill="FFFFFF"/>
        </w:rPr>
        <w:t xml:space="preserve"> (1842). Each student will participate in the research team by adopting a chapter of this book to analyze and present to the class, first in a presentation and then in a short essay. The presentation </w:t>
      </w:r>
      <w:r w:rsidRPr="00793EBD">
        <w:rPr>
          <w:rFonts w:eastAsia="Times New Roman" w:cs="Times New Roman"/>
          <w:color w:val="000000"/>
          <w:shd w:val="clear" w:color="auto" w:fill="FFFFFF"/>
        </w:rPr>
        <w:t>should introduce Ellis’s advice to young women on the topic discussed in your chapter. In the essay, identify the values (gendered or otherwise) that Ellis promotes in your chosen chapter and</w:t>
      </w:r>
      <w:r w:rsidRPr="00793EBD">
        <w:rPr>
          <w:rFonts w:eastAsia="Times New Roman" w:cs="Times New Roman"/>
          <w:b/>
          <w:bCs/>
          <w:color w:val="000000"/>
          <w:shd w:val="clear" w:color="auto" w:fill="FFFFFF"/>
        </w:rPr>
        <w:t> </w:t>
      </w:r>
      <w:r w:rsidRPr="00793EBD">
        <w:rPr>
          <w:rFonts w:eastAsia="Times New Roman" w:cs="Times New Roman"/>
          <w:color w:val="000000"/>
          <w:shd w:val="clear" w:color="auto" w:fill="FFFFFF"/>
        </w:rPr>
        <w:t>advance an argument</w:t>
      </w:r>
      <w:r w:rsidRPr="00A842BC">
        <w:rPr>
          <w:rFonts w:eastAsia="Times New Roman" w:cs="Times New Roman"/>
          <w:color w:val="000000"/>
          <w:shd w:val="clear" w:color="auto" w:fill="FFFFFF"/>
        </w:rPr>
        <w:t xml:space="preserve"> about whether her advice aims to circumscribe or </w:t>
      </w:r>
      <w:r>
        <w:rPr>
          <w:rFonts w:eastAsia="Times New Roman" w:cs="Times New Roman"/>
          <w:color w:val="000000"/>
          <w:shd w:val="clear" w:color="auto" w:fill="FFFFFF"/>
        </w:rPr>
        <w:t xml:space="preserve">expand the agency of </w:t>
      </w:r>
      <w:r w:rsidRPr="00A842BC">
        <w:rPr>
          <w:rFonts w:eastAsia="Times New Roman" w:cs="Times New Roman"/>
          <w:color w:val="000000"/>
          <w:shd w:val="clear" w:color="auto" w:fill="FFFFFF"/>
        </w:rPr>
        <w:t>female readers—or, perhaps, does both</w:t>
      </w:r>
      <w:r>
        <w:rPr>
          <w:rFonts w:eastAsia="Times New Roman" w:cs="Times New Roman"/>
          <w:color w:val="000000"/>
          <w:shd w:val="clear" w:color="auto" w:fill="FFFFFF"/>
        </w:rPr>
        <w:t xml:space="preserve"> (some elements/values</w:t>
      </w:r>
      <w:r w:rsidRPr="00A842BC">
        <w:rPr>
          <w:rFonts w:eastAsia="Times New Roman" w:cs="Times New Roman"/>
          <w:color w:val="000000"/>
          <w:shd w:val="clear" w:color="auto" w:fill="FFFFFF"/>
        </w:rPr>
        <w:t xml:space="preserve"> may work in competing ways). </w:t>
      </w:r>
    </w:p>
    <w:p w14:paraId="5B3C92FA" w14:textId="77777777" w:rsidR="003C1A07" w:rsidRDefault="003C1A07" w:rsidP="003C1A07">
      <w:pPr>
        <w:rPr>
          <w:rFonts w:eastAsia="Times New Roman" w:cs="Times New Roman"/>
          <w:color w:val="000000"/>
          <w:shd w:val="clear" w:color="auto" w:fill="FFFFFF"/>
        </w:rPr>
      </w:pPr>
    </w:p>
    <w:p w14:paraId="3DDF6A66" w14:textId="77777777" w:rsidR="003C1A07" w:rsidRPr="003425E6" w:rsidRDefault="003C1A07" w:rsidP="003C1A07">
      <w:pPr>
        <w:rPr>
          <w:rFonts w:ascii="Times New Roman" w:eastAsia="Times New Roman" w:hAnsi="Times New Roman" w:cs="Times New Roman"/>
        </w:rPr>
      </w:pPr>
      <w:r w:rsidRPr="003425E6">
        <w:rPr>
          <w:rFonts w:eastAsia="Times New Roman" w:cs="Times New Roman"/>
          <w:color w:val="000000"/>
          <w:shd w:val="clear" w:color="auto" w:fill="FFFFFF"/>
        </w:rPr>
        <w:t>Presentation: Think of this as a short informational presentation: your goal is to educate the class on key pieces of advice offered by Ellis in your chosen chapter, to improve our collective understanding of the complete, book-length conduct guide.</w:t>
      </w:r>
      <w:r w:rsidRPr="003425E6">
        <w:rPr>
          <w:color w:val="000000"/>
          <w:shd w:val="clear" w:color="auto" w:fill="FFFFFF"/>
        </w:rPr>
        <w:t xml:space="preserve"> </w:t>
      </w:r>
      <w:r w:rsidRPr="003425E6">
        <w:rPr>
          <w:rFonts w:eastAsia="Times New Roman" w:cs="Times New Roman"/>
          <w:color w:val="000000"/>
          <w:shd w:val="clear" w:color="auto" w:fill="FFFFFF"/>
        </w:rPr>
        <w:t xml:space="preserve">Please follow the recommended tips for </w:t>
      </w:r>
      <w:r>
        <w:rPr>
          <w:rFonts w:eastAsia="Times New Roman" w:cs="Times New Roman"/>
          <w:color w:val="000000"/>
          <w:shd w:val="clear" w:color="auto" w:fill="FFFFFF"/>
        </w:rPr>
        <w:t xml:space="preserve">effective </w:t>
      </w:r>
      <w:r w:rsidRPr="003425E6">
        <w:rPr>
          <w:rFonts w:eastAsia="Times New Roman" w:cs="Times New Roman"/>
          <w:color w:val="000000"/>
          <w:shd w:val="clear" w:color="auto" w:fill="FFFFFF"/>
        </w:rPr>
        <w:t>presentations that are included in the prompt for class discussion leadership. </w:t>
      </w:r>
    </w:p>
    <w:p w14:paraId="3F0192E9" w14:textId="77777777" w:rsidR="003C1A07" w:rsidRDefault="003C1A07" w:rsidP="003C1A07">
      <w:pPr>
        <w:rPr>
          <w:rFonts w:ascii="Times New Roman" w:eastAsia="Times New Roman" w:hAnsi="Times New Roman" w:cs="Times New Roman"/>
        </w:rPr>
      </w:pPr>
    </w:p>
    <w:p w14:paraId="3A6DD5E7" w14:textId="74F633E0" w:rsidR="003C1A07" w:rsidRDefault="003C1A07" w:rsidP="003C1A07">
      <w:pPr>
        <w:rPr>
          <w:rFonts w:ascii="Times New Roman" w:eastAsia="Times New Roman" w:hAnsi="Times New Roman" w:cs="Times New Roman"/>
        </w:rPr>
      </w:pPr>
      <w:r w:rsidRPr="003425E6">
        <w:rPr>
          <w:rFonts w:eastAsia="Times New Roman" w:cs="Times New Roman"/>
          <w:color w:val="000000"/>
          <w:shd w:val="clear" w:color="auto" w:fill="FFFFFF"/>
        </w:rPr>
        <w:t>Essay: In this essay, you’ll be asked to expand upon your presentation findings in an argument-</w:t>
      </w:r>
      <w:r>
        <w:rPr>
          <w:rFonts w:eastAsia="Times New Roman" w:cs="Times New Roman"/>
          <w:color w:val="000000"/>
          <w:shd w:val="clear" w:color="auto" w:fill="FFFFFF"/>
        </w:rPr>
        <w:t xml:space="preserve"> </w:t>
      </w:r>
      <w:r w:rsidRPr="003425E6">
        <w:rPr>
          <w:rFonts w:eastAsia="Times New Roman" w:cs="Times New Roman"/>
          <w:color w:val="000000"/>
          <w:shd w:val="clear" w:color="auto" w:fill="FFFFFF"/>
        </w:rPr>
        <w:t>driven essay of 4-5pp. Successful essays will focus predominantly on your chosen chapter, but also reflect knowledge gleaned from colleagues’ presentations about other chapters of Ellis’s </w:t>
      </w:r>
      <w:r w:rsidRPr="003425E6">
        <w:rPr>
          <w:rFonts w:eastAsia="Times New Roman" w:cs="Times New Roman"/>
          <w:i/>
          <w:iCs/>
          <w:color w:val="000000"/>
          <w:shd w:val="clear" w:color="auto" w:fill="FFFFFF"/>
        </w:rPr>
        <w:t>Daughters of England</w:t>
      </w:r>
      <w:r w:rsidRPr="003425E6">
        <w:rPr>
          <w:rFonts w:eastAsia="Times New Roman" w:cs="Times New Roman"/>
          <w:color w:val="000000"/>
          <w:shd w:val="clear" w:color="auto" w:fill="FFFFFF"/>
        </w:rPr>
        <w:t xml:space="preserve">; </w:t>
      </w:r>
      <w:r w:rsidR="00B21905">
        <w:rPr>
          <w:rFonts w:eastAsia="Times New Roman" w:cs="Times New Roman"/>
          <w:color w:val="000000"/>
          <w:shd w:val="clear" w:color="auto" w:fill="FFFFFF"/>
        </w:rPr>
        <w:t xml:space="preserve">in addition, </w:t>
      </w:r>
      <w:r w:rsidRPr="003425E6">
        <w:rPr>
          <w:rFonts w:eastAsia="Times New Roman" w:cs="Times New Roman"/>
          <w:color w:val="000000"/>
          <w:shd w:val="clear" w:color="auto" w:fill="FFFFFF"/>
        </w:rPr>
        <w:t>they will acknowledge nuances and complexities of the text.</w:t>
      </w:r>
    </w:p>
    <w:p w14:paraId="22B3CFEB" w14:textId="77777777" w:rsidR="003C1A07" w:rsidRDefault="003C1A07" w:rsidP="003C1A07">
      <w:pPr>
        <w:rPr>
          <w:rFonts w:ascii="Times New Roman" w:eastAsia="Times New Roman" w:hAnsi="Times New Roman" w:cs="Times New Roman"/>
        </w:rPr>
      </w:pPr>
    </w:p>
    <w:p w14:paraId="673C2B68" w14:textId="77777777" w:rsidR="003C1A07" w:rsidRPr="0030514C" w:rsidRDefault="003C1A07" w:rsidP="0030514C">
      <w:pPr>
        <w:spacing w:before="120"/>
        <w:rPr>
          <w:b/>
          <w:bCs/>
        </w:rPr>
      </w:pPr>
      <w:r w:rsidRPr="0030514C">
        <w:rPr>
          <w:b/>
          <w:bCs/>
        </w:rPr>
        <w:t>Final Essay (20%)  </w:t>
      </w:r>
    </w:p>
    <w:p w14:paraId="0A5A2819" w14:textId="77777777" w:rsidR="003C1A07" w:rsidRPr="003425E6" w:rsidRDefault="003C1A07" w:rsidP="003C1A07">
      <w:pPr>
        <w:textAlignment w:val="baseline"/>
        <w:rPr>
          <w:rFonts w:ascii="Segoe UI" w:eastAsia="Times New Roman" w:hAnsi="Segoe UI" w:cs="Segoe UI"/>
          <w:sz w:val="18"/>
          <w:szCs w:val="18"/>
        </w:rPr>
      </w:pPr>
      <w:r w:rsidRPr="003425E6">
        <w:rPr>
          <w:rFonts w:eastAsia="Times New Roman" w:cs="Segoe UI"/>
        </w:rPr>
        <w:t> </w:t>
      </w:r>
    </w:p>
    <w:p w14:paraId="3FC10F77" w14:textId="2EA83CC7" w:rsidR="003C1A07" w:rsidRPr="003425E6" w:rsidRDefault="003C1A07" w:rsidP="003C1A07">
      <w:pPr>
        <w:textAlignment w:val="baseline"/>
        <w:rPr>
          <w:rFonts w:ascii="Segoe UI" w:eastAsia="Times New Roman" w:hAnsi="Segoe UI" w:cs="Segoe UI"/>
          <w:sz w:val="18"/>
          <w:szCs w:val="18"/>
        </w:rPr>
      </w:pPr>
      <w:r w:rsidRPr="003030FC">
        <w:rPr>
          <w:rFonts w:eastAsia="Times New Roman" w:cs="Segoe UI"/>
        </w:rPr>
        <w:t>In this 5-7pp. comparative-argumentative essay,</w:t>
      </w:r>
      <w:r w:rsidRPr="003425E6">
        <w:rPr>
          <w:rFonts w:eastAsia="Times New Roman" w:cs="Segoe UI"/>
        </w:rPr>
        <w:t xml:space="preserve"> you will be asked to analyze </w:t>
      </w:r>
      <w:r w:rsidRPr="003425E6">
        <w:rPr>
          <w:rFonts w:eastAsia="Times New Roman" w:cs="Segoe UI"/>
          <w:i/>
          <w:iCs/>
        </w:rPr>
        <w:t>Jane Eyre</w:t>
      </w:r>
      <w:r w:rsidRPr="003425E6">
        <w:rPr>
          <w:rFonts w:eastAsia="Times New Roman" w:cs="Segoe UI"/>
        </w:rPr>
        <w:t> and to situate it in relation to the broader tradition of nineteenth-century women’s writing that we have studied this semester. To do so, your essay should advance an argument about how the</w:t>
      </w:r>
      <w:r>
        <w:rPr>
          <w:rFonts w:eastAsia="Times New Roman" w:cs="Segoe UI"/>
        </w:rPr>
        <w:t xml:space="preserve"> novel compares</w:t>
      </w:r>
      <w:r w:rsidRPr="003425E6">
        <w:rPr>
          <w:rFonts w:eastAsia="Times New Roman" w:cs="Segoe UI"/>
        </w:rPr>
        <w:t xml:space="preserve"> or contrasts with at least </w:t>
      </w:r>
      <w:r>
        <w:rPr>
          <w:rFonts w:eastAsia="Times New Roman" w:cs="Segoe UI"/>
        </w:rPr>
        <w:t>four</w:t>
      </w:r>
      <w:r w:rsidRPr="003425E6">
        <w:rPr>
          <w:rFonts w:eastAsia="Times New Roman" w:cs="Segoe UI"/>
        </w:rPr>
        <w:t xml:space="preserve"> works written by other authors we’ve read. To focus this argument, select a specific </w:t>
      </w:r>
      <w:r w:rsidRPr="006B0576">
        <w:rPr>
          <w:rFonts w:eastAsia="Times New Roman" w:cs="Segoe UI"/>
        </w:rPr>
        <w:t>object of analysis</w:t>
      </w:r>
      <w:r w:rsidRPr="003425E6">
        <w:rPr>
          <w:rFonts w:eastAsia="Times New Roman" w:cs="Segoe UI"/>
        </w:rPr>
        <w:t xml:space="preserve"> that you will use to compare these texts—such as a topic (for example: education), theme (for example: independence/autonomy), or element of </w:t>
      </w:r>
      <w:r>
        <w:rPr>
          <w:rFonts w:eastAsia="Times New Roman" w:cs="Segoe UI"/>
        </w:rPr>
        <w:t xml:space="preserve">form/ style </w:t>
      </w:r>
      <w:r w:rsidRPr="003425E6">
        <w:rPr>
          <w:rFonts w:eastAsia="Times New Roman" w:cs="Segoe UI"/>
        </w:rPr>
        <w:t>(for example: first-person narration</w:t>
      </w:r>
      <w:r w:rsidR="0088498E">
        <w:rPr>
          <w:rFonts w:eastAsia="Times New Roman" w:cs="Segoe UI"/>
        </w:rPr>
        <w:t xml:space="preserve"> or </w:t>
      </w:r>
      <w:r w:rsidR="004E3393">
        <w:rPr>
          <w:rFonts w:eastAsia="Times New Roman" w:cs="Segoe UI"/>
        </w:rPr>
        <w:t>irony</w:t>
      </w:r>
      <w:r w:rsidRPr="003425E6">
        <w:rPr>
          <w:rFonts w:eastAsia="Times New Roman" w:cs="Segoe UI"/>
        </w:rPr>
        <w:t>) that you will trace across multiple works. </w:t>
      </w:r>
    </w:p>
    <w:p w14:paraId="6C7B0D89" w14:textId="77777777" w:rsidR="003C1A07" w:rsidRPr="003425E6" w:rsidRDefault="003C1A07" w:rsidP="003C1A07">
      <w:pPr>
        <w:textAlignment w:val="baseline"/>
        <w:rPr>
          <w:rFonts w:ascii="Segoe UI" w:eastAsia="Times New Roman" w:hAnsi="Segoe UI" w:cs="Segoe UI"/>
          <w:sz w:val="18"/>
          <w:szCs w:val="18"/>
        </w:rPr>
      </w:pPr>
      <w:r w:rsidRPr="003425E6">
        <w:rPr>
          <w:rFonts w:eastAsia="Times New Roman" w:cs="Segoe UI"/>
        </w:rPr>
        <w:t> </w:t>
      </w:r>
    </w:p>
    <w:p w14:paraId="28BA40F7" w14:textId="3169DEB5" w:rsidR="003C1A07" w:rsidRDefault="003C1A07" w:rsidP="003C1A07">
      <w:pPr>
        <w:textAlignment w:val="baseline"/>
        <w:rPr>
          <w:rFonts w:eastAsia="Times New Roman" w:cs="Segoe UI"/>
        </w:rPr>
      </w:pPr>
      <w:r w:rsidRPr="003425E6">
        <w:rPr>
          <w:rFonts w:eastAsia="Times New Roman" w:cs="Segoe UI"/>
        </w:rPr>
        <w:t xml:space="preserve">The Commonplace Book is designed to be of aid in developing your topic; the Index and broader searchable document furnish a wide-ranging cache of ideas that you all have collectively identified </w:t>
      </w:r>
      <w:r>
        <w:rPr>
          <w:rFonts w:eastAsia="Times New Roman" w:cs="Segoe UI"/>
        </w:rPr>
        <w:t xml:space="preserve">as significant </w:t>
      </w:r>
      <w:r w:rsidRPr="003425E6">
        <w:rPr>
          <w:rFonts w:eastAsia="Times New Roman" w:cs="Segoe UI"/>
        </w:rPr>
        <w:t>across all of our readings. Indeed, the prospectus activity (described further below) prompts you to begin exploring topics by </w:t>
      </w:r>
      <w:r w:rsidRPr="003425E6">
        <w:rPr>
          <w:rFonts w:eastAsia="Times New Roman" w:cs="Segoe UI"/>
          <w:i/>
          <w:iCs/>
        </w:rPr>
        <w:t>first</w:t>
      </w:r>
      <w:r w:rsidRPr="003425E6">
        <w:rPr>
          <w:rFonts w:eastAsia="Times New Roman" w:cs="Segoe UI"/>
        </w:rPr>
        <w:t xml:space="preserve"> reviewing those included in the Commonplace </w:t>
      </w:r>
      <w:r>
        <w:rPr>
          <w:rFonts w:eastAsia="Times New Roman" w:cs="Segoe UI"/>
        </w:rPr>
        <w:t xml:space="preserve">Index. </w:t>
      </w:r>
    </w:p>
    <w:p w14:paraId="45918C09" w14:textId="77777777" w:rsidR="006D1470" w:rsidRDefault="006D1470" w:rsidP="003C1A07">
      <w:pPr>
        <w:textAlignment w:val="baseline"/>
        <w:rPr>
          <w:rFonts w:ascii="Segoe UI" w:eastAsia="Times New Roman" w:hAnsi="Segoe UI" w:cs="Segoe UI"/>
          <w:sz w:val="18"/>
          <w:szCs w:val="18"/>
        </w:rPr>
      </w:pPr>
    </w:p>
    <w:p w14:paraId="0C5B1E66" w14:textId="77777777" w:rsidR="003C1A07" w:rsidRPr="0030514C" w:rsidRDefault="003C1A07" w:rsidP="0030514C">
      <w:pPr>
        <w:spacing w:before="120"/>
        <w:rPr>
          <w:b/>
          <w:bCs/>
        </w:rPr>
      </w:pPr>
      <w:r w:rsidRPr="0030514C">
        <w:rPr>
          <w:b/>
          <w:bCs/>
        </w:rPr>
        <w:t>Final Essay Prospectus (10%)  </w:t>
      </w:r>
    </w:p>
    <w:p w14:paraId="1EA9DA4A" w14:textId="77777777" w:rsidR="003C1A07" w:rsidRPr="003425E6" w:rsidRDefault="003C1A07" w:rsidP="003C1A07">
      <w:pPr>
        <w:textAlignment w:val="baseline"/>
        <w:rPr>
          <w:rFonts w:ascii="Segoe UI" w:eastAsia="Times New Roman" w:hAnsi="Segoe UI" w:cs="Segoe UI"/>
          <w:sz w:val="18"/>
          <w:szCs w:val="18"/>
        </w:rPr>
      </w:pPr>
      <w:r w:rsidRPr="003425E6">
        <w:rPr>
          <w:rFonts w:eastAsia="Times New Roman" w:cs="Segoe UI"/>
        </w:rPr>
        <w:t> </w:t>
      </w:r>
    </w:p>
    <w:p w14:paraId="75281B4D" w14:textId="77777777" w:rsidR="003C1A07" w:rsidRPr="003425E6" w:rsidRDefault="003C1A07" w:rsidP="003C1A07">
      <w:pPr>
        <w:textAlignment w:val="baseline"/>
        <w:rPr>
          <w:rFonts w:ascii="Segoe UI" w:eastAsia="Times New Roman" w:hAnsi="Segoe UI" w:cs="Segoe UI"/>
          <w:sz w:val="18"/>
          <w:szCs w:val="18"/>
        </w:rPr>
      </w:pPr>
      <w:r w:rsidRPr="003425E6">
        <w:rPr>
          <w:rFonts w:eastAsia="Times New Roman" w:cs="Segoe UI"/>
        </w:rPr>
        <w:t xml:space="preserve">Your final essay prospectus should indicate succinctly (in no more than one </w:t>
      </w:r>
      <w:r>
        <w:rPr>
          <w:rFonts w:eastAsia="Times New Roman" w:cs="Segoe UI"/>
        </w:rPr>
        <w:t xml:space="preserve">paragraph) what </w:t>
      </w:r>
      <w:r w:rsidRPr="001A103E">
        <w:rPr>
          <w:rFonts w:eastAsia="Times New Roman" w:cs="Segoe UI"/>
        </w:rPr>
        <w:t>object of analysis</w:t>
      </w:r>
      <w:r w:rsidRPr="003425E6">
        <w:rPr>
          <w:rFonts w:eastAsia="Times New Roman" w:cs="Segoe UI"/>
        </w:rPr>
        <w:t> will guide your final essay topic, which other texts you anticipate including in your study, and what connections you see between these works and </w:t>
      </w:r>
      <w:r w:rsidRPr="003425E6">
        <w:rPr>
          <w:rFonts w:eastAsia="Times New Roman" w:cs="Segoe UI"/>
          <w:i/>
          <w:iCs/>
        </w:rPr>
        <w:t>Jane Eyre</w:t>
      </w:r>
      <w:r w:rsidRPr="003425E6">
        <w:rPr>
          <w:rFonts w:eastAsia="Times New Roman" w:cs="Segoe UI"/>
        </w:rPr>
        <w:t xml:space="preserve"> (in terms of your chosen object </w:t>
      </w:r>
      <w:r>
        <w:rPr>
          <w:rFonts w:eastAsia="Times New Roman" w:cs="Segoe UI"/>
        </w:rPr>
        <w:t xml:space="preserve">of </w:t>
      </w:r>
      <w:r w:rsidRPr="003425E6">
        <w:rPr>
          <w:rFonts w:eastAsia="Times New Roman" w:cs="Segoe UI"/>
        </w:rPr>
        <w:t>analysis). Preparation of the prospectus should start with a holistic review</w:t>
      </w:r>
      <w:r>
        <w:rPr>
          <w:rFonts w:eastAsia="Times New Roman" w:cs="Segoe UI"/>
        </w:rPr>
        <w:t xml:space="preserve"> of the Commonplace Index </w:t>
      </w:r>
      <w:r w:rsidRPr="003425E6">
        <w:rPr>
          <w:rFonts w:eastAsia="Times New Roman" w:cs="Segoe UI"/>
        </w:rPr>
        <w:t xml:space="preserve">and the prospectus must include a selection of 4-5 Commonplace entries that you anticipate using in the final essay or that were helpful </w:t>
      </w:r>
      <w:r>
        <w:rPr>
          <w:rFonts w:eastAsia="Times New Roman" w:cs="Segoe UI"/>
        </w:rPr>
        <w:t>in developing your topic</w:t>
      </w:r>
      <w:r w:rsidRPr="003425E6">
        <w:rPr>
          <w:rFonts w:eastAsia="Times New Roman" w:cs="Segoe UI"/>
        </w:rPr>
        <w:t>. These entries—which constitute potential textual evidence for your essay—should</w:t>
      </w:r>
      <w:r>
        <w:rPr>
          <w:rFonts w:eastAsia="Times New Roman" w:cs="Segoe UI"/>
        </w:rPr>
        <w:t xml:space="preserve"> be appended</w:t>
      </w:r>
      <w:r w:rsidRPr="003425E6">
        <w:rPr>
          <w:rFonts w:eastAsia="Times New Roman" w:cs="Segoe UI"/>
        </w:rPr>
        <w:t xml:space="preserve"> below the opening paragraph of the prospectus</w:t>
      </w:r>
      <w:r>
        <w:rPr>
          <w:rFonts w:eastAsia="Times New Roman" w:cs="Segoe UI"/>
        </w:rPr>
        <w:t>, and y</w:t>
      </w:r>
      <w:r w:rsidRPr="003425E6">
        <w:rPr>
          <w:rFonts w:eastAsia="Times New Roman" w:cs="Segoe UI"/>
        </w:rPr>
        <w:t xml:space="preserve">ou should include </w:t>
      </w:r>
      <w:r>
        <w:rPr>
          <w:rFonts w:eastAsia="Times New Roman" w:cs="Segoe UI"/>
        </w:rPr>
        <w:t xml:space="preserve">a short explanation </w:t>
      </w:r>
      <w:r w:rsidRPr="003425E6">
        <w:rPr>
          <w:rFonts w:eastAsia="Times New Roman" w:cs="Segoe UI"/>
        </w:rPr>
        <w:t>(2-3 sentences) of the relationship of each entry to your chosen final essay topic. If this explanation includes analytic points made within the marginal comments on a</w:t>
      </w:r>
      <w:r>
        <w:rPr>
          <w:rFonts w:eastAsia="Times New Roman" w:cs="Segoe UI"/>
        </w:rPr>
        <w:t>n entry</w:t>
      </w:r>
      <w:r w:rsidRPr="003425E6">
        <w:rPr>
          <w:rFonts w:eastAsia="Times New Roman" w:cs="Segoe UI"/>
        </w:rPr>
        <w:t xml:space="preserve">, these </w:t>
      </w:r>
      <w:r>
        <w:rPr>
          <w:rFonts w:eastAsia="Times New Roman" w:cs="Segoe UI"/>
        </w:rPr>
        <w:t xml:space="preserve">points </w:t>
      </w:r>
      <w:r w:rsidRPr="003425E6">
        <w:rPr>
          <w:rFonts w:eastAsia="Times New Roman" w:cs="Segoe UI"/>
        </w:rPr>
        <w:t>must be properly attributed to the commenter.    </w:t>
      </w:r>
    </w:p>
    <w:p w14:paraId="1EAC51AF" w14:textId="77777777" w:rsidR="003C1A07" w:rsidRPr="003425E6" w:rsidRDefault="003C1A07" w:rsidP="003C1A07">
      <w:pPr>
        <w:textAlignment w:val="baseline"/>
        <w:rPr>
          <w:rFonts w:ascii="Segoe UI" w:eastAsia="Times New Roman" w:hAnsi="Segoe UI" w:cs="Segoe UI"/>
          <w:sz w:val="18"/>
          <w:szCs w:val="18"/>
        </w:rPr>
      </w:pPr>
      <w:r w:rsidRPr="003425E6">
        <w:rPr>
          <w:rFonts w:eastAsia="Times New Roman" w:cs="Segoe UI"/>
        </w:rPr>
        <w:t> </w:t>
      </w:r>
    </w:p>
    <w:p w14:paraId="638266D0" w14:textId="2F429118" w:rsidR="003C1A07" w:rsidRDefault="003C1A07" w:rsidP="0003716B">
      <w:pPr>
        <w:textAlignment w:val="baseline"/>
      </w:pPr>
      <w:r w:rsidRPr="003425E6">
        <w:rPr>
          <w:rFonts w:eastAsia="Times New Roman" w:cs="Segoe UI"/>
        </w:rPr>
        <w:t>Because this is a prospectus activity, it can be </w:t>
      </w:r>
      <w:r w:rsidRPr="003425E6">
        <w:rPr>
          <w:rFonts w:eastAsia="Times New Roman" w:cs="Segoe UI"/>
          <w:i/>
          <w:iCs/>
        </w:rPr>
        <w:t>prospective</w:t>
      </w:r>
      <w:r w:rsidRPr="003425E6">
        <w:rPr>
          <w:rFonts w:eastAsia="Times New Roman" w:cs="Segoe UI"/>
        </w:rPr>
        <w:t xml:space="preserve">—in other words, you are not committed to using these quotations in your final essay (and you </w:t>
      </w:r>
      <w:r>
        <w:rPr>
          <w:rFonts w:eastAsia="Times New Roman" w:cs="Segoe UI"/>
        </w:rPr>
        <w:t>are likely to locate additional</w:t>
      </w:r>
      <w:r w:rsidRPr="003425E6">
        <w:rPr>
          <w:rFonts w:eastAsia="Times New Roman" w:cs="Segoe UI"/>
        </w:rPr>
        <w:t xml:space="preserve"> textual </w:t>
      </w:r>
      <w:r>
        <w:rPr>
          <w:rFonts w:eastAsia="Times New Roman" w:cs="Segoe UI"/>
        </w:rPr>
        <w:t xml:space="preserve">evidence </w:t>
      </w:r>
      <w:r w:rsidRPr="003425E6">
        <w:rPr>
          <w:rFonts w:eastAsia="Times New Roman" w:cs="Segoe UI"/>
        </w:rPr>
        <w:t>during the writing process). However, you will set yourself up well to write the final essay if you take seriously this opportunity to think creatively and expansively about locating sources</w:t>
      </w:r>
      <w:r>
        <w:rPr>
          <w:rFonts w:eastAsia="Times New Roman" w:cs="Segoe UI"/>
        </w:rPr>
        <w:t xml:space="preserve"> of</w:t>
      </w:r>
      <w:r w:rsidRPr="003425E6">
        <w:rPr>
          <w:rFonts w:eastAsia="Times New Roman" w:cs="Segoe UI"/>
        </w:rPr>
        <w:t xml:space="preserve"> evidence, </w:t>
      </w:r>
      <w:r>
        <w:rPr>
          <w:rFonts w:eastAsia="Times New Roman" w:cs="Segoe UI"/>
        </w:rPr>
        <w:t>using</w:t>
      </w:r>
      <w:r w:rsidRPr="003425E6">
        <w:rPr>
          <w:rFonts w:eastAsia="Times New Roman" w:cs="Segoe UI"/>
        </w:rPr>
        <w:t xml:space="preserve"> insights generated by your colleagues in the Commonplace Book to do so. </w:t>
      </w:r>
    </w:p>
    <w:p w14:paraId="269746D6" w14:textId="77777777" w:rsidR="00EF1576" w:rsidRDefault="00EF1576"/>
    <w:sectPr w:rsidR="00EF1576" w:rsidSect="0038374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071C1A" w14:textId="77777777" w:rsidR="0091406F" w:rsidRDefault="0091406F" w:rsidP="001533FB">
      <w:r>
        <w:separator/>
      </w:r>
    </w:p>
  </w:endnote>
  <w:endnote w:type="continuationSeparator" w:id="0">
    <w:p w14:paraId="55D62986" w14:textId="77777777" w:rsidR="0091406F" w:rsidRDefault="0091406F" w:rsidP="00153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altName w:val="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51534354"/>
      <w:docPartObj>
        <w:docPartGallery w:val="Page Numbers (Bottom of Page)"/>
        <w:docPartUnique/>
      </w:docPartObj>
    </w:sdtPr>
    <w:sdtEndPr>
      <w:rPr>
        <w:rStyle w:val="PageNumber"/>
      </w:rPr>
    </w:sdtEndPr>
    <w:sdtContent>
      <w:p w14:paraId="76FB40F3" w14:textId="7B0C25BC" w:rsidR="00896F38" w:rsidRDefault="00896F38" w:rsidP="006C79E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96523376"/>
      <w:docPartObj>
        <w:docPartGallery w:val="Page Numbers (Bottom of Page)"/>
        <w:docPartUnique/>
      </w:docPartObj>
    </w:sdtPr>
    <w:sdtEndPr>
      <w:rPr>
        <w:rStyle w:val="PageNumber"/>
      </w:rPr>
    </w:sdtEndPr>
    <w:sdtContent>
      <w:p w14:paraId="456F8F3E" w14:textId="4B524E5C" w:rsidR="00610260" w:rsidRDefault="007D34CA" w:rsidP="00C32B50">
        <w:pPr>
          <w:pStyle w:val="Footer"/>
          <w:framePr w:wrap="none" w:vAnchor="text" w:hAnchor="margin" w:xAlign="center" w:y="1"/>
          <w:rPr>
            <w:rStyle w:val="PageNumber"/>
          </w:rPr>
        </w:pPr>
      </w:p>
    </w:sdtContent>
  </w:sdt>
  <w:sdt>
    <w:sdtPr>
      <w:rPr>
        <w:rStyle w:val="PageNumber"/>
      </w:rPr>
      <w:id w:val="-577748612"/>
      <w:docPartObj>
        <w:docPartGallery w:val="Page Numbers (Bottom of Page)"/>
        <w:docPartUnique/>
      </w:docPartObj>
    </w:sdtPr>
    <w:sdtEndPr>
      <w:rPr>
        <w:rStyle w:val="PageNumber"/>
      </w:rPr>
    </w:sdtEndPr>
    <w:sdtContent>
      <w:p w14:paraId="341922F5" w14:textId="77777777" w:rsidR="001533FB" w:rsidRDefault="007D34CA" w:rsidP="00A54D52">
        <w:pPr>
          <w:pStyle w:val="Footer"/>
          <w:framePr w:wrap="none" w:vAnchor="text" w:hAnchor="margin" w:xAlign="center" w:y="1"/>
          <w:rPr>
            <w:rStyle w:val="PageNumber"/>
          </w:rPr>
        </w:pPr>
      </w:p>
    </w:sdtContent>
  </w:sdt>
  <w:p w14:paraId="435EDA49" w14:textId="77777777" w:rsidR="001533FB" w:rsidRDefault="001533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55091941"/>
      <w:docPartObj>
        <w:docPartGallery w:val="Page Numbers (Bottom of Page)"/>
        <w:docPartUnique/>
      </w:docPartObj>
    </w:sdtPr>
    <w:sdtEndPr>
      <w:rPr>
        <w:rStyle w:val="PageNumber"/>
      </w:rPr>
    </w:sdtEndPr>
    <w:sdtContent>
      <w:p w14:paraId="06E9E980" w14:textId="7BA150A1" w:rsidR="00896F38" w:rsidRDefault="00896F38" w:rsidP="006C79E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FE7137B" w14:textId="77777777" w:rsidR="00610260" w:rsidRDefault="006102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264A13" w14:textId="77777777" w:rsidR="0091406F" w:rsidRDefault="0091406F" w:rsidP="001533FB">
      <w:r>
        <w:separator/>
      </w:r>
    </w:p>
  </w:footnote>
  <w:footnote w:type="continuationSeparator" w:id="0">
    <w:p w14:paraId="4143F086" w14:textId="77777777" w:rsidR="0091406F" w:rsidRDefault="0091406F" w:rsidP="001533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169E9"/>
    <w:multiLevelType w:val="hybridMultilevel"/>
    <w:tmpl w:val="BBAC6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665D86"/>
    <w:multiLevelType w:val="hybridMultilevel"/>
    <w:tmpl w:val="537AC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4773D4"/>
    <w:multiLevelType w:val="hybridMultilevel"/>
    <w:tmpl w:val="BA40A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A87D49"/>
    <w:multiLevelType w:val="hybridMultilevel"/>
    <w:tmpl w:val="7A187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0E4DE3"/>
    <w:multiLevelType w:val="hybridMultilevel"/>
    <w:tmpl w:val="6FC08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A32A6B"/>
    <w:multiLevelType w:val="hybridMultilevel"/>
    <w:tmpl w:val="EA52D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3C3A02"/>
    <w:multiLevelType w:val="hybridMultilevel"/>
    <w:tmpl w:val="611288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965EFD"/>
    <w:multiLevelType w:val="hybridMultilevel"/>
    <w:tmpl w:val="9000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224CAA"/>
    <w:multiLevelType w:val="hybridMultilevel"/>
    <w:tmpl w:val="D2F0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D0532F"/>
    <w:multiLevelType w:val="hybridMultilevel"/>
    <w:tmpl w:val="F85A3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FF2DD0"/>
    <w:multiLevelType w:val="hybridMultilevel"/>
    <w:tmpl w:val="79C01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3D4A72"/>
    <w:multiLevelType w:val="hybridMultilevel"/>
    <w:tmpl w:val="6D6EA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821905"/>
    <w:multiLevelType w:val="hybridMultilevel"/>
    <w:tmpl w:val="06264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466FC5"/>
    <w:multiLevelType w:val="hybridMultilevel"/>
    <w:tmpl w:val="7504A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8"/>
  </w:num>
  <w:num w:numId="4">
    <w:abstractNumId w:val="5"/>
  </w:num>
  <w:num w:numId="5">
    <w:abstractNumId w:val="1"/>
  </w:num>
  <w:num w:numId="6">
    <w:abstractNumId w:val="9"/>
  </w:num>
  <w:num w:numId="7">
    <w:abstractNumId w:val="10"/>
  </w:num>
  <w:num w:numId="8">
    <w:abstractNumId w:val="13"/>
  </w:num>
  <w:num w:numId="9">
    <w:abstractNumId w:val="2"/>
  </w:num>
  <w:num w:numId="10">
    <w:abstractNumId w:val="7"/>
  </w:num>
  <w:num w:numId="11">
    <w:abstractNumId w:val="12"/>
  </w:num>
  <w:num w:numId="12">
    <w:abstractNumId w:val="0"/>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A07"/>
    <w:rsid w:val="00000342"/>
    <w:rsid w:val="00006E0F"/>
    <w:rsid w:val="00026BB0"/>
    <w:rsid w:val="00031BEA"/>
    <w:rsid w:val="00037032"/>
    <w:rsid w:val="0003716B"/>
    <w:rsid w:val="00037881"/>
    <w:rsid w:val="00046048"/>
    <w:rsid w:val="00056EBD"/>
    <w:rsid w:val="000573E6"/>
    <w:rsid w:val="0006229F"/>
    <w:rsid w:val="00064848"/>
    <w:rsid w:val="0008387F"/>
    <w:rsid w:val="0008593D"/>
    <w:rsid w:val="00086E4C"/>
    <w:rsid w:val="000A0867"/>
    <w:rsid w:val="000C38D9"/>
    <w:rsid w:val="000F5F02"/>
    <w:rsid w:val="000F7F42"/>
    <w:rsid w:val="0010744C"/>
    <w:rsid w:val="00113AC8"/>
    <w:rsid w:val="001205AE"/>
    <w:rsid w:val="00126FA6"/>
    <w:rsid w:val="0013218A"/>
    <w:rsid w:val="00132AD0"/>
    <w:rsid w:val="00150F7C"/>
    <w:rsid w:val="001533FB"/>
    <w:rsid w:val="00155595"/>
    <w:rsid w:val="00161F3D"/>
    <w:rsid w:val="0016788A"/>
    <w:rsid w:val="001731F1"/>
    <w:rsid w:val="001735F4"/>
    <w:rsid w:val="0017546E"/>
    <w:rsid w:val="0019119B"/>
    <w:rsid w:val="00192EF7"/>
    <w:rsid w:val="001961E5"/>
    <w:rsid w:val="001A5744"/>
    <w:rsid w:val="001B130B"/>
    <w:rsid w:val="001D1F6C"/>
    <w:rsid w:val="001E46E6"/>
    <w:rsid w:val="001E5732"/>
    <w:rsid w:val="001E6AFF"/>
    <w:rsid w:val="001F20D0"/>
    <w:rsid w:val="002013B3"/>
    <w:rsid w:val="0020677A"/>
    <w:rsid w:val="00207C40"/>
    <w:rsid w:val="00215D2D"/>
    <w:rsid w:val="00244E10"/>
    <w:rsid w:val="00244EB1"/>
    <w:rsid w:val="00253F9D"/>
    <w:rsid w:val="00266C4C"/>
    <w:rsid w:val="00275521"/>
    <w:rsid w:val="00290CC6"/>
    <w:rsid w:val="0029345D"/>
    <w:rsid w:val="002A022A"/>
    <w:rsid w:val="002A2797"/>
    <w:rsid w:val="002B0120"/>
    <w:rsid w:val="002B2593"/>
    <w:rsid w:val="002C19A7"/>
    <w:rsid w:val="002E07BE"/>
    <w:rsid w:val="002E6BAC"/>
    <w:rsid w:val="002E759F"/>
    <w:rsid w:val="002F0AA8"/>
    <w:rsid w:val="0030514C"/>
    <w:rsid w:val="0031075B"/>
    <w:rsid w:val="003205EA"/>
    <w:rsid w:val="00322DF0"/>
    <w:rsid w:val="0032750E"/>
    <w:rsid w:val="00327E77"/>
    <w:rsid w:val="003469EE"/>
    <w:rsid w:val="0035222F"/>
    <w:rsid w:val="00363D8B"/>
    <w:rsid w:val="00366DE2"/>
    <w:rsid w:val="00371507"/>
    <w:rsid w:val="003747B0"/>
    <w:rsid w:val="003815FF"/>
    <w:rsid w:val="00383741"/>
    <w:rsid w:val="0038403F"/>
    <w:rsid w:val="00384B5A"/>
    <w:rsid w:val="00387E57"/>
    <w:rsid w:val="00392D6F"/>
    <w:rsid w:val="003A098B"/>
    <w:rsid w:val="003A4A1D"/>
    <w:rsid w:val="003B4831"/>
    <w:rsid w:val="003B7C96"/>
    <w:rsid w:val="003C1A07"/>
    <w:rsid w:val="003C272B"/>
    <w:rsid w:val="003F0405"/>
    <w:rsid w:val="003F69D0"/>
    <w:rsid w:val="00406667"/>
    <w:rsid w:val="00411B35"/>
    <w:rsid w:val="004171F4"/>
    <w:rsid w:val="004176CF"/>
    <w:rsid w:val="004208E1"/>
    <w:rsid w:val="004310E9"/>
    <w:rsid w:val="00443716"/>
    <w:rsid w:val="00446D15"/>
    <w:rsid w:val="004539BD"/>
    <w:rsid w:val="00454FC3"/>
    <w:rsid w:val="00457AA9"/>
    <w:rsid w:val="00472987"/>
    <w:rsid w:val="0047403B"/>
    <w:rsid w:val="004745A8"/>
    <w:rsid w:val="00476755"/>
    <w:rsid w:val="004847FC"/>
    <w:rsid w:val="00487FAD"/>
    <w:rsid w:val="0049053C"/>
    <w:rsid w:val="00494CCF"/>
    <w:rsid w:val="004A1042"/>
    <w:rsid w:val="004A2F30"/>
    <w:rsid w:val="004A6D4A"/>
    <w:rsid w:val="004B2755"/>
    <w:rsid w:val="004E3393"/>
    <w:rsid w:val="004E615F"/>
    <w:rsid w:val="004F0D4E"/>
    <w:rsid w:val="004F7639"/>
    <w:rsid w:val="0050002E"/>
    <w:rsid w:val="00500985"/>
    <w:rsid w:val="0050194B"/>
    <w:rsid w:val="00502B8D"/>
    <w:rsid w:val="00503A61"/>
    <w:rsid w:val="005105D3"/>
    <w:rsid w:val="0051454E"/>
    <w:rsid w:val="005202BC"/>
    <w:rsid w:val="00523831"/>
    <w:rsid w:val="005239C6"/>
    <w:rsid w:val="005255AA"/>
    <w:rsid w:val="00535B1B"/>
    <w:rsid w:val="00537389"/>
    <w:rsid w:val="005638C9"/>
    <w:rsid w:val="00567324"/>
    <w:rsid w:val="00572127"/>
    <w:rsid w:val="005756C7"/>
    <w:rsid w:val="0058012D"/>
    <w:rsid w:val="00583FC9"/>
    <w:rsid w:val="005932EF"/>
    <w:rsid w:val="00593C25"/>
    <w:rsid w:val="00595348"/>
    <w:rsid w:val="005B3F3C"/>
    <w:rsid w:val="005C3F9E"/>
    <w:rsid w:val="005C4F6E"/>
    <w:rsid w:val="005D5BEE"/>
    <w:rsid w:val="005E1FF4"/>
    <w:rsid w:val="005E5C1E"/>
    <w:rsid w:val="005F0FBE"/>
    <w:rsid w:val="005F54E8"/>
    <w:rsid w:val="005F7681"/>
    <w:rsid w:val="00600045"/>
    <w:rsid w:val="00600702"/>
    <w:rsid w:val="00610260"/>
    <w:rsid w:val="00610D54"/>
    <w:rsid w:val="006121DD"/>
    <w:rsid w:val="00617241"/>
    <w:rsid w:val="00626646"/>
    <w:rsid w:val="006365C9"/>
    <w:rsid w:val="00640626"/>
    <w:rsid w:val="00644E7D"/>
    <w:rsid w:val="006630F2"/>
    <w:rsid w:val="00674DF3"/>
    <w:rsid w:val="006760C3"/>
    <w:rsid w:val="006803B6"/>
    <w:rsid w:val="00693613"/>
    <w:rsid w:val="006A12BE"/>
    <w:rsid w:val="006D1470"/>
    <w:rsid w:val="006D7F59"/>
    <w:rsid w:val="006E6151"/>
    <w:rsid w:val="006F1C8F"/>
    <w:rsid w:val="007018A2"/>
    <w:rsid w:val="00710350"/>
    <w:rsid w:val="00711DF3"/>
    <w:rsid w:val="0072333E"/>
    <w:rsid w:val="0073141D"/>
    <w:rsid w:val="00731F46"/>
    <w:rsid w:val="00743767"/>
    <w:rsid w:val="00773AA2"/>
    <w:rsid w:val="00780041"/>
    <w:rsid w:val="00781735"/>
    <w:rsid w:val="007828C5"/>
    <w:rsid w:val="0078769C"/>
    <w:rsid w:val="00790099"/>
    <w:rsid w:val="00794472"/>
    <w:rsid w:val="0079504E"/>
    <w:rsid w:val="007B0F6C"/>
    <w:rsid w:val="007B20A6"/>
    <w:rsid w:val="007D0765"/>
    <w:rsid w:val="007D2355"/>
    <w:rsid w:val="007D34CA"/>
    <w:rsid w:val="007D4131"/>
    <w:rsid w:val="007E539C"/>
    <w:rsid w:val="008173B7"/>
    <w:rsid w:val="008237D0"/>
    <w:rsid w:val="00826CC4"/>
    <w:rsid w:val="008409F4"/>
    <w:rsid w:val="0084795A"/>
    <w:rsid w:val="00853F74"/>
    <w:rsid w:val="0085666A"/>
    <w:rsid w:val="008610A1"/>
    <w:rsid w:val="008611F1"/>
    <w:rsid w:val="00884798"/>
    <w:rsid w:val="0088498E"/>
    <w:rsid w:val="00894515"/>
    <w:rsid w:val="008961BD"/>
    <w:rsid w:val="00896F38"/>
    <w:rsid w:val="008A4524"/>
    <w:rsid w:val="008A6799"/>
    <w:rsid w:val="008B4552"/>
    <w:rsid w:val="008C4C23"/>
    <w:rsid w:val="008E0B87"/>
    <w:rsid w:val="008E3701"/>
    <w:rsid w:val="008F348A"/>
    <w:rsid w:val="008F3F0C"/>
    <w:rsid w:val="00901DF1"/>
    <w:rsid w:val="00912BED"/>
    <w:rsid w:val="0091406F"/>
    <w:rsid w:val="00916690"/>
    <w:rsid w:val="009345A4"/>
    <w:rsid w:val="00934EE1"/>
    <w:rsid w:val="00945DEF"/>
    <w:rsid w:val="009516CA"/>
    <w:rsid w:val="00952808"/>
    <w:rsid w:val="0096421C"/>
    <w:rsid w:val="00966D43"/>
    <w:rsid w:val="009751F5"/>
    <w:rsid w:val="00983BC5"/>
    <w:rsid w:val="009A0A03"/>
    <w:rsid w:val="009A0CEA"/>
    <w:rsid w:val="009A0DBF"/>
    <w:rsid w:val="009B2B54"/>
    <w:rsid w:val="009B7C52"/>
    <w:rsid w:val="009C423E"/>
    <w:rsid w:val="009C58F8"/>
    <w:rsid w:val="009D3DB1"/>
    <w:rsid w:val="009D746E"/>
    <w:rsid w:val="009E5074"/>
    <w:rsid w:val="009E66DD"/>
    <w:rsid w:val="009F5758"/>
    <w:rsid w:val="00A13D36"/>
    <w:rsid w:val="00A22057"/>
    <w:rsid w:val="00A34B68"/>
    <w:rsid w:val="00A54A54"/>
    <w:rsid w:val="00A62474"/>
    <w:rsid w:val="00A76F96"/>
    <w:rsid w:val="00A803F0"/>
    <w:rsid w:val="00A9024A"/>
    <w:rsid w:val="00A93E59"/>
    <w:rsid w:val="00A979C8"/>
    <w:rsid w:val="00AB2756"/>
    <w:rsid w:val="00AB44B0"/>
    <w:rsid w:val="00AB7C1D"/>
    <w:rsid w:val="00AC78FE"/>
    <w:rsid w:val="00AD16D7"/>
    <w:rsid w:val="00AD1BFD"/>
    <w:rsid w:val="00AE06E8"/>
    <w:rsid w:val="00B02A6B"/>
    <w:rsid w:val="00B21905"/>
    <w:rsid w:val="00B32963"/>
    <w:rsid w:val="00B41242"/>
    <w:rsid w:val="00B50321"/>
    <w:rsid w:val="00B52F4B"/>
    <w:rsid w:val="00B53C4F"/>
    <w:rsid w:val="00B57B32"/>
    <w:rsid w:val="00B72BC7"/>
    <w:rsid w:val="00B75D10"/>
    <w:rsid w:val="00B86B5C"/>
    <w:rsid w:val="00BA09A3"/>
    <w:rsid w:val="00BA32F1"/>
    <w:rsid w:val="00BB227C"/>
    <w:rsid w:val="00BC020A"/>
    <w:rsid w:val="00BC0781"/>
    <w:rsid w:val="00C03866"/>
    <w:rsid w:val="00C03AEF"/>
    <w:rsid w:val="00C120E5"/>
    <w:rsid w:val="00C21C7A"/>
    <w:rsid w:val="00C3343F"/>
    <w:rsid w:val="00C33726"/>
    <w:rsid w:val="00C35DF1"/>
    <w:rsid w:val="00C37534"/>
    <w:rsid w:val="00C55C2C"/>
    <w:rsid w:val="00C70AF8"/>
    <w:rsid w:val="00C905C8"/>
    <w:rsid w:val="00C950F3"/>
    <w:rsid w:val="00C976A8"/>
    <w:rsid w:val="00C97F24"/>
    <w:rsid w:val="00CC4B84"/>
    <w:rsid w:val="00CC7792"/>
    <w:rsid w:val="00CD33F4"/>
    <w:rsid w:val="00CD3C96"/>
    <w:rsid w:val="00CD61BA"/>
    <w:rsid w:val="00CD7278"/>
    <w:rsid w:val="00CE3F95"/>
    <w:rsid w:val="00CF4109"/>
    <w:rsid w:val="00CF5AF6"/>
    <w:rsid w:val="00D1123F"/>
    <w:rsid w:val="00D1247F"/>
    <w:rsid w:val="00D13674"/>
    <w:rsid w:val="00D1718C"/>
    <w:rsid w:val="00D22364"/>
    <w:rsid w:val="00D242AC"/>
    <w:rsid w:val="00D30E8B"/>
    <w:rsid w:val="00D33C72"/>
    <w:rsid w:val="00D342DE"/>
    <w:rsid w:val="00D40476"/>
    <w:rsid w:val="00D502A0"/>
    <w:rsid w:val="00D50BC3"/>
    <w:rsid w:val="00D52099"/>
    <w:rsid w:val="00D548FB"/>
    <w:rsid w:val="00D610AD"/>
    <w:rsid w:val="00D638D2"/>
    <w:rsid w:val="00D665EA"/>
    <w:rsid w:val="00D7376F"/>
    <w:rsid w:val="00D77C20"/>
    <w:rsid w:val="00D8195A"/>
    <w:rsid w:val="00D92363"/>
    <w:rsid w:val="00DB08BD"/>
    <w:rsid w:val="00DC31E6"/>
    <w:rsid w:val="00DC355E"/>
    <w:rsid w:val="00DC4EB3"/>
    <w:rsid w:val="00DD1AFA"/>
    <w:rsid w:val="00DE12F2"/>
    <w:rsid w:val="00DF7235"/>
    <w:rsid w:val="00E20A93"/>
    <w:rsid w:val="00E236D1"/>
    <w:rsid w:val="00E27A52"/>
    <w:rsid w:val="00E45289"/>
    <w:rsid w:val="00E57B51"/>
    <w:rsid w:val="00E64C3F"/>
    <w:rsid w:val="00E75338"/>
    <w:rsid w:val="00E812FF"/>
    <w:rsid w:val="00E961D4"/>
    <w:rsid w:val="00EA07C9"/>
    <w:rsid w:val="00EB01EF"/>
    <w:rsid w:val="00EB12A6"/>
    <w:rsid w:val="00EB2F03"/>
    <w:rsid w:val="00EB5EEA"/>
    <w:rsid w:val="00EE2C22"/>
    <w:rsid w:val="00EF1576"/>
    <w:rsid w:val="00EF61A7"/>
    <w:rsid w:val="00F03DAC"/>
    <w:rsid w:val="00F07161"/>
    <w:rsid w:val="00F1280C"/>
    <w:rsid w:val="00F15CA1"/>
    <w:rsid w:val="00F16E66"/>
    <w:rsid w:val="00F2783D"/>
    <w:rsid w:val="00F35F96"/>
    <w:rsid w:val="00F41855"/>
    <w:rsid w:val="00F44CF9"/>
    <w:rsid w:val="00F511DD"/>
    <w:rsid w:val="00F55AC5"/>
    <w:rsid w:val="00F848D0"/>
    <w:rsid w:val="00F86FA2"/>
    <w:rsid w:val="00F976BB"/>
    <w:rsid w:val="00FA16FD"/>
    <w:rsid w:val="00FA7124"/>
    <w:rsid w:val="00FB54A1"/>
    <w:rsid w:val="00FC1184"/>
    <w:rsid w:val="00FC58E9"/>
    <w:rsid w:val="00FD41D9"/>
    <w:rsid w:val="00FF25E9"/>
    <w:rsid w:val="00FF3E86"/>
    <w:rsid w:val="10030619"/>
    <w:rsid w:val="1A7B21A1"/>
    <w:rsid w:val="5322029A"/>
    <w:rsid w:val="59C72B45"/>
    <w:rsid w:val="5DF9025C"/>
    <w:rsid w:val="78466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9D11E"/>
  <w15:chartTrackingRefBased/>
  <w15:docId w15:val="{DC215F01-4B70-7440-BA9A-E99E46BEE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A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533FB"/>
    <w:pPr>
      <w:tabs>
        <w:tab w:val="center" w:pos="4680"/>
        <w:tab w:val="right" w:pos="9360"/>
      </w:tabs>
    </w:pPr>
  </w:style>
  <w:style w:type="character" w:customStyle="1" w:styleId="FooterChar">
    <w:name w:val="Footer Char"/>
    <w:basedOn w:val="DefaultParagraphFont"/>
    <w:link w:val="Footer"/>
    <w:uiPriority w:val="99"/>
    <w:rsid w:val="001533FB"/>
  </w:style>
  <w:style w:type="character" w:styleId="PageNumber">
    <w:name w:val="page number"/>
    <w:basedOn w:val="DefaultParagraphFont"/>
    <w:uiPriority w:val="99"/>
    <w:semiHidden/>
    <w:unhideWhenUsed/>
    <w:rsid w:val="001533FB"/>
  </w:style>
  <w:style w:type="paragraph" w:styleId="Header">
    <w:name w:val="header"/>
    <w:basedOn w:val="Normal"/>
    <w:link w:val="HeaderChar"/>
    <w:uiPriority w:val="99"/>
    <w:unhideWhenUsed/>
    <w:rsid w:val="001533FB"/>
    <w:pPr>
      <w:tabs>
        <w:tab w:val="center" w:pos="4680"/>
        <w:tab w:val="right" w:pos="9360"/>
      </w:tabs>
    </w:pPr>
  </w:style>
  <w:style w:type="character" w:customStyle="1" w:styleId="HeaderChar">
    <w:name w:val="Header Char"/>
    <w:basedOn w:val="DefaultParagraphFont"/>
    <w:link w:val="Header"/>
    <w:uiPriority w:val="99"/>
    <w:rsid w:val="001533FB"/>
  </w:style>
  <w:style w:type="character" w:styleId="Hyperlink">
    <w:name w:val="Hyperlink"/>
    <w:basedOn w:val="DefaultParagraphFont"/>
    <w:uiPriority w:val="99"/>
    <w:unhideWhenUsed/>
    <w:rsid w:val="003C1A07"/>
    <w:rPr>
      <w:color w:val="0563C1" w:themeColor="hyperlink"/>
      <w:u w:val="single"/>
    </w:rPr>
  </w:style>
  <w:style w:type="paragraph" w:styleId="ListParagraph">
    <w:name w:val="List Paragraph"/>
    <w:basedOn w:val="Normal"/>
    <w:uiPriority w:val="34"/>
    <w:qFormat/>
    <w:rsid w:val="003C1A07"/>
    <w:pPr>
      <w:ind w:left="720"/>
      <w:contextualSpacing/>
    </w:pPr>
  </w:style>
  <w:style w:type="character" w:customStyle="1" w:styleId="normaltextrun">
    <w:name w:val="normaltextrun"/>
    <w:basedOn w:val="DefaultParagraphFont"/>
    <w:rsid w:val="003C1A07"/>
  </w:style>
  <w:style w:type="paragraph" w:customStyle="1" w:styleId="paragraph">
    <w:name w:val="paragraph"/>
    <w:basedOn w:val="Normal"/>
    <w:rsid w:val="003C1A07"/>
    <w:pPr>
      <w:spacing w:before="100" w:beforeAutospacing="1" w:after="100" w:afterAutospacing="1"/>
    </w:pPr>
    <w:rPr>
      <w:rFonts w:ascii="Times New Roman" w:eastAsia="Times New Roman" w:hAnsi="Times New Roman" w:cs="Times New Roman"/>
    </w:rPr>
  </w:style>
  <w:style w:type="character" w:customStyle="1" w:styleId="eop">
    <w:name w:val="eop"/>
    <w:basedOn w:val="DefaultParagraphFont"/>
    <w:rsid w:val="003C1A07"/>
  </w:style>
  <w:style w:type="character" w:styleId="CommentReference">
    <w:name w:val="annotation reference"/>
    <w:basedOn w:val="DefaultParagraphFont"/>
    <w:uiPriority w:val="99"/>
    <w:semiHidden/>
    <w:unhideWhenUsed/>
    <w:rsid w:val="003C1A07"/>
    <w:rPr>
      <w:sz w:val="16"/>
      <w:szCs w:val="16"/>
    </w:rPr>
  </w:style>
  <w:style w:type="paragraph" w:styleId="CommentText">
    <w:name w:val="annotation text"/>
    <w:basedOn w:val="Normal"/>
    <w:link w:val="CommentTextChar"/>
    <w:uiPriority w:val="99"/>
    <w:semiHidden/>
    <w:unhideWhenUsed/>
    <w:rsid w:val="003C1A07"/>
    <w:rPr>
      <w:sz w:val="20"/>
      <w:szCs w:val="20"/>
    </w:rPr>
  </w:style>
  <w:style w:type="character" w:customStyle="1" w:styleId="CommentTextChar">
    <w:name w:val="Comment Text Char"/>
    <w:basedOn w:val="DefaultParagraphFont"/>
    <w:link w:val="CommentText"/>
    <w:uiPriority w:val="99"/>
    <w:semiHidden/>
    <w:rsid w:val="003C1A07"/>
    <w:rPr>
      <w:sz w:val="20"/>
      <w:szCs w:val="20"/>
    </w:rPr>
  </w:style>
  <w:style w:type="paragraph" w:styleId="CommentSubject">
    <w:name w:val="annotation subject"/>
    <w:basedOn w:val="CommentText"/>
    <w:next w:val="CommentText"/>
    <w:link w:val="CommentSubjectChar"/>
    <w:uiPriority w:val="99"/>
    <w:semiHidden/>
    <w:unhideWhenUsed/>
    <w:rsid w:val="00FC1184"/>
    <w:rPr>
      <w:b/>
      <w:bCs/>
    </w:rPr>
  </w:style>
  <w:style w:type="character" w:customStyle="1" w:styleId="CommentSubjectChar">
    <w:name w:val="Comment Subject Char"/>
    <w:basedOn w:val="CommentTextChar"/>
    <w:link w:val="CommentSubject"/>
    <w:uiPriority w:val="99"/>
    <w:semiHidden/>
    <w:rsid w:val="00FC1184"/>
    <w:rPr>
      <w:b/>
      <w:bCs/>
      <w:sz w:val="20"/>
      <w:szCs w:val="20"/>
    </w:rPr>
  </w:style>
  <w:style w:type="paragraph" w:styleId="BalloonText">
    <w:name w:val="Balloon Text"/>
    <w:basedOn w:val="Normal"/>
    <w:link w:val="BalloonTextChar"/>
    <w:uiPriority w:val="99"/>
    <w:semiHidden/>
    <w:unhideWhenUsed/>
    <w:rsid w:val="007B20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B20A6"/>
    <w:rPr>
      <w:rFonts w:ascii="Times New Roman" w:hAnsi="Times New Roman" w:cs="Times New Roman"/>
      <w:sz w:val="18"/>
      <w:szCs w:val="18"/>
    </w:rPr>
  </w:style>
  <w:style w:type="table" w:styleId="TableGrid">
    <w:name w:val="Table Grid"/>
    <w:basedOn w:val="TableNormal"/>
    <w:uiPriority w:val="39"/>
    <w:rsid w:val="00363D8B"/>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73789">
      <w:bodyDiv w:val="1"/>
      <w:marLeft w:val="0"/>
      <w:marRight w:val="0"/>
      <w:marTop w:val="0"/>
      <w:marBottom w:val="0"/>
      <w:divBdr>
        <w:top w:val="none" w:sz="0" w:space="0" w:color="auto"/>
        <w:left w:val="none" w:sz="0" w:space="0" w:color="auto"/>
        <w:bottom w:val="none" w:sz="0" w:space="0" w:color="auto"/>
        <w:right w:val="none" w:sz="0" w:space="0" w:color="auto"/>
      </w:divBdr>
    </w:div>
    <w:div w:id="36324421">
      <w:bodyDiv w:val="1"/>
      <w:marLeft w:val="0"/>
      <w:marRight w:val="0"/>
      <w:marTop w:val="0"/>
      <w:marBottom w:val="0"/>
      <w:divBdr>
        <w:top w:val="none" w:sz="0" w:space="0" w:color="auto"/>
        <w:left w:val="none" w:sz="0" w:space="0" w:color="auto"/>
        <w:bottom w:val="none" w:sz="0" w:space="0" w:color="auto"/>
        <w:right w:val="none" w:sz="0" w:space="0" w:color="auto"/>
      </w:divBdr>
    </w:div>
    <w:div w:id="83035345">
      <w:bodyDiv w:val="1"/>
      <w:marLeft w:val="0"/>
      <w:marRight w:val="0"/>
      <w:marTop w:val="0"/>
      <w:marBottom w:val="0"/>
      <w:divBdr>
        <w:top w:val="none" w:sz="0" w:space="0" w:color="auto"/>
        <w:left w:val="none" w:sz="0" w:space="0" w:color="auto"/>
        <w:bottom w:val="none" w:sz="0" w:space="0" w:color="auto"/>
        <w:right w:val="none" w:sz="0" w:space="0" w:color="auto"/>
      </w:divBdr>
    </w:div>
    <w:div w:id="97723441">
      <w:bodyDiv w:val="1"/>
      <w:marLeft w:val="0"/>
      <w:marRight w:val="0"/>
      <w:marTop w:val="0"/>
      <w:marBottom w:val="0"/>
      <w:divBdr>
        <w:top w:val="none" w:sz="0" w:space="0" w:color="auto"/>
        <w:left w:val="none" w:sz="0" w:space="0" w:color="auto"/>
        <w:bottom w:val="none" w:sz="0" w:space="0" w:color="auto"/>
        <w:right w:val="none" w:sz="0" w:space="0" w:color="auto"/>
      </w:divBdr>
    </w:div>
    <w:div w:id="111634856">
      <w:bodyDiv w:val="1"/>
      <w:marLeft w:val="0"/>
      <w:marRight w:val="0"/>
      <w:marTop w:val="0"/>
      <w:marBottom w:val="0"/>
      <w:divBdr>
        <w:top w:val="none" w:sz="0" w:space="0" w:color="auto"/>
        <w:left w:val="none" w:sz="0" w:space="0" w:color="auto"/>
        <w:bottom w:val="none" w:sz="0" w:space="0" w:color="auto"/>
        <w:right w:val="none" w:sz="0" w:space="0" w:color="auto"/>
      </w:divBdr>
    </w:div>
    <w:div w:id="182670452">
      <w:bodyDiv w:val="1"/>
      <w:marLeft w:val="0"/>
      <w:marRight w:val="0"/>
      <w:marTop w:val="0"/>
      <w:marBottom w:val="0"/>
      <w:divBdr>
        <w:top w:val="none" w:sz="0" w:space="0" w:color="auto"/>
        <w:left w:val="none" w:sz="0" w:space="0" w:color="auto"/>
        <w:bottom w:val="none" w:sz="0" w:space="0" w:color="auto"/>
        <w:right w:val="none" w:sz="0" w:space="0" w:color="auto"/>
      </w:divBdr>
    </w:div>
    <w:div w:id="234097679">
      <w:bodyDiv w:val="1"/>
      <w:marLeft w:val="0"/>
      <w:marRight w:val="0"/>
      <w:marTop w:val="0"/>
      <w:marBottom w:val="0"/>
      <w:divBdr>
        <w:top w:val="none" w:sz="0" w:space="0" w:color="auto"/>
        <w:left w:val="none" w:sz="0" w:space="0" w:color="auto"/>
        <w:bottom w:val="none" w:sz="0" w:space="0" w:color="auto"/>
        <w:right w:val="none" w:sz="0" w:space="0" w:color="auto"/>
      </w:divBdr>
    </w:div>
    <w:div w:id="264848777">
      <w:bodyDiv w:val="1"/>
      <w:marLeft w:val="0"/>
      <w:marRight w:val="0"/>
      <w:marTop w:val="0"/>
      <w:marBottom w:val="0"/>
      <w:divBdr>
        <w:top w:val="none" w:sz="0" w:space="0" w:color="auto"/>
        <w:left w:val="none" w:sz="0" w:space="0" w:color="auto"/>
        <w:bottom w:val="none" w:sz="0" w:space="0" w:color="auto"/>
        <w:right w:val="none" w:sz="0" w:space="0" w:color="auto"/>
      </w:divBdr>
    </w:div>
    <w:div w:id="271866680">
      <w:bodyDiv w:val="1"/>
      <w:marLeft w:val="0"/>
      <w:marRight w:val="0"/>
      <w:marTop w:val="0"/>
      <w:marBottom w:val="0"/>
      <w:divBdr>
        <w:top w:val="none" w:sz="0" w:space="0" w:color="auto"/>
        <w:left w:val="none" w:sz="0" w:space="0" w:color="auto"/>
        <w:bottom w:val="none" w:sz="0" w:space="0" w:color="auto"/>
        <w:right w:val="none" w:sz="0" w:space="0" w:color="auto"/>
      </w:divBdr>
    </w:div>
    <w:div w:id="281694401">
      <w:bodyDiv w:val="1"/>
      <w:marLeft w:val="0"/>
      <w:marRight w:val="0"/>
      <w:marTop w:val="0"/>
      <w:marBottom w:val="0"/>
      <w:divBdr>
        <w:top w:val="none" w:sz="0" w:space="0" w:color="auto"/>
        <w:left w:val="none" w:sz="0" w:space="0" w:color="auto"/>
        <w:bottom w:val="none" w:sz="0" w:space="0" w:color="auto"/>
        <w:right w:val="none" w:sz="0" w:space="0" w:color="auto"/>
      </w:divBdr>
    </w:div>
    <w:div w:id="380135553">
      <w:bodyDiv w:val="1"/>
      <w:marLeft w:val="0"/>
      <w:marRight w:val="0"/>
      <w:marTop w:val="0"/>
      <w:marBottom w:val="0"/>
      <w:divBdr>
        <w:top w:val="none" w:sz="0" w:space="0" w:color="auto"/>
        <w:left w:val="none" w:sz="0" w:space="0" w:color="auto"/>
        <w:bottom w:val="none" w:sz="0" w:space="0" w:color="auto"/>
        <w:right w:val="none" w:sz="0" w:space="0" w:color="auto"/>
      </w:divBdr>
    </w:div>
    <w:div w:id="722294745">
      <w:bodyDiv w:val="1"/>
      <w:marLeft w:val="0"/>
      <w:marRight w:val="0"/>
      <w:marTop w:val="0"/>
      <w:marBottom w:val="0"/>
      <w:divBdr>
        <w:top w:val="none" w:sz="0" w:space="0" w:color="auto"/>
        <w:left w:val="none" w:sz="0" w:space="0" w:color="auto"/>
        <w:bottom w:val="none" w:sz="0" w:space="0" w:color="auto"/>
        <w:right w:val="none" w:sz="0" w:space="0" w:color="auto"/>
      </w:divBdr>
    </w:div>
    <w:div w:id="897206947">
      <w:bodyDiv w:val="1"/>
      <w:marLeft w:val="0"/>
      <w:marRight w:val="0"/>
      <w:marTop w:val="0"/>
      <w:marBottom w:val="0"/>
      <w:divBdr>
        <w:top w:val="none" w:sz="0" w:space="0" w:color="auto"/>
        <w:left w:val="none" w:sz="0" w:space="0" w:color="auto"/>
        <w:bottom w:val="none" w:sz="0" w:space="0" w:color="auto"/>
        <w:right w:val="none" w:sz="0" w:space="0" w:color="auto"/>
      </w:divBdr>
    </w:div>
    <w:div w:id="1010137481">
      <w:bodyDiv w:val="1"/>
      <w:marLeft w:val="0"/>
      <w:marRight w:val="0"/>
      <w:marTop w:val="0"/>
      <w:marBottom w:val="0"/>
      <w:divBdr>
        <w:top w:val="none" w:sz="0" w:space="0" w:color="auto"/>
        <w:left w:val="none" w:sz="0" w:space="0" w:color="auto"/>
        <w:bottom w:val="none" w:sz="0" w:space="0" w:color="auto"/>
        <w:right w:val="none" w:sz="0" w:space="0" w:color="auto"/>
      </w:divBdr>
    </w:div>
    <w:div w:id="1507403098">
      <w:bodyDiv w:val="1"/>
      <w:marLeft w:val="0"/>
      <w:marRight w:val="0"/>
      <w:marTop w:val="0"/>
      <w:marBottom w:val="0"/>
      <w:divBdr>
        <w:top w:val="none" w:sz="0" w:space="0" w:color="auto"/>
        <w:left w:val="none" w:sz="0" w:space="0" w:color="auto"/>
        <w:bottom w:val="none" w:sz="0" w:space="0" w:color="auto"/>
        <w:right w:val="none" w:sz="0" w:space="0" w:color="auto"/>
      </w:divBdr>
    </w:div>
    <w:div w:id="1559246481">
      <w:bodyDiv w:val="1"/>
      <w:marLeft w:val="0"/>
      <w:marRight w:val="0"/>
      <w:marTop w:val="0"/>
      <w:marBottom w:val="0"/>
      <w:divBdr>
        <w:top w:val="none" w:sz="0" w:space="0" w:color="auto"/>
        <w:left w:val="none" w:sz="0" w:space="0" w:color="auto"/>
        <w:bottom w:val="none" w:sz="0" w:space="0" w:color="auto"/>
        <w:right w:val="none" w:sz="0" w:space="0" w:color="auto"/>
      </w:divBdr>
    </w:div>
    <w:div w:id="1691369292">
      <w:bodyDiv w:val="1"/>
      <w:marLeft w:val="0"/>
      <w:marRight w:val="0"/>
      <w:marTop w:val="0"/>
      <w:marBottom w:val="0"/>
      <w:divBdr>
        <w:top w:val="none" w:sz="0" w:space="0" w:color="auto"/>
        <w:left w:val="none" w:sz="0" w:space="0" w:color="auto"/>
        <w:bottom w:val="none" w:sz="0" w:space="0" w:color="auto"/>
        <w:right w:val="none" w:sz="0" w:space="0" w:color="auto"/>
      </w:divBdr>
    </w:div>
    <w:div w:id="1701739457">
      <w:bodyDiv w:val="1"/>
      <w:marLeft w:val="0"/>
      <w:marRight w:val="0"/>
      <w:marTop w:val="0"/>
      <w:marBottom w:val="0"/>
      <w:divBdr>
        <w:top w:val="none" w:sz="0" w:space="0" w:color="auto"/>
        <w:left w:val="none" w:sz="0" w:space="0" w:color="auto"/>
        <w:bottom w:val="none" w:sz="0" w:space="0" w:color="auto"/>
        <w:right w:val="none" w:sz="0" w:space="0" w:color="auto"/>
      </w:divBdr>
    </w:div>
    <w:div w:id="1720280944">
      <w:bodyDiv w:val="1"/>
      <w:marLeft w:val="0"/>
      <w:marRight w:val="0"/>
      <w:marTop w:val="0"/>
      <w:marBottom w:val="0"/>
      <w:divBdr>
        <w:top w:val="none" w:sz="0" w:space="0" w:color="auto"/>
        <w:left w:val="none" w:sz="0" w:space="0" w:color="auto"/>
        <w:bottom w:val="none" w:sz="0" w:space="0" w:color="auto"/>
        <w:right w:val="none" w:sz="0" w:space="0" w:color="auto"/>
      </w:divBdr>
    </w:div>
    <w:div w:id="1779831832">
      <w:bodyDiv w:val="1"/>
      <w:marLeft w:val="0"/>
      <w:marRight w:val="0"/>
      <w:marTop w:val="0"/>
      <w:marBottom w:val="0"/>
      <w:divBdr>
        <w:top w:val="none" w:sz="0" w:space="0" w:color="auto"/>
        <w:left w:val="none" w:sz="0" w:space="0" w:color="auto"/>
        <w:bottom w:val="none" w:sz="0" w:space="0" w:color="auto"/>
        <w:right w:val="none" w:sz="0" w:space="0" w:color="auto"/>
      </w:divBdr>
    </w:div>
    <w:div w:id="1794325448">
      <w:bodyDiv w:val="1"/>
      <w:marLeft w:val="0"/>
      <w:marRight w:val="0"/>
      <w:marTop w:val="0"/>
      <w:marBottom w:val="0"/>
      <w:divBdr>
        <w:top w:val="none" w:sz="0" w:space="0" w:color="auto"/>
        <w:left w:val="none" w:sz="0" w:space="0" w:color="auto"/>
        <w:bottom w:val="none" w:sz="0" w:space="0" w:color="auto"/>
        <w:right w:val="none" w:sz="0" w:space="0" w:color="auto"/>
      </w:divBdr>
    </w:div>
    <w:div w:id="1887066050">
      <w:bodyDiv w:val="1"/>
      <w:marLeft w:val="0"/>
      <w:marRight w:val="0"/>
      <w:marTop w:val="0"/>
      <w:marBottom w:val="0"/>
      <w:divBdr>
        <w:top w:val="none" w:sz="0" w:space="0" w:color="auto"/>
        <w:left w:val="none" w:sz="0" w:space="0" w:color="auto"/>
        <w:bottom w:val="none" w:sz="0" w:space="0" w:color="auto"/>
        <w:right w:val="none" w:sz="0" w:space="0" w:color="auto"/>
      </w:divBdr>
    </w:div>
    <w:div w:id="1950895790">
      <w:bodyDiv w:val="1"/>
      <w:marLeft w:val="0"/>
      <w:marRight w:val="0"/>
      <w:marTop w:val="0"/>
      <w:marBottom w:val="0"/>
      <w:divBdr>
        <w:top w:val="none" w:sz="0" w:space="0" w:color="auto"/>
        <w:left w:val="none" w:sz="0" w:space="0" w:color="auto"/>
        <w:bottom w:val="none" w:sz="0" w:space="0" w:color="auto"/>
        <w:right w:val="none" w:sz="0" w:space="0" w:color="auto"/>
      </w:divBdr>
    </w:div>
    <w:div w:id="2030448252">
      <w:bodyDiv w:val="1"/>
      <w:marLeft w:val="0"/>
      <w:marRight w:val="0"/>
      <w:marTop w:val="0"/>
      <w:marBottom w:val="0"/>
      <w:divBdr>
        <w:top w:val="none" w:sz="0" w:space="0" w:color="auto"/>
        <w:left w:val="none" w:sz="0" w:space="0" w:color="auto"/>
        <w:bottom w:val="none" w:sz="0" w:space="0" w:color="auto"/>
        <w:right w:val="none" w:sz="0" w:space="0" w:color="auto"/>
      </w:divBdr>
    </w:div>
    <w:div w:id="2055616303">
      <w:bodyDiv w:val="1"/>
      <w:marLeft w:val="0"/>
      <w:marRight w:val="0"/>
      <w:marTop w:val="0"/>
      <w:marBottom w:val="0"/>
      <w:divBdr>
        <w:top w:val="none" w:sz="0" w:space="0" w:color="auto"/>
        <w:left w:val="none" w:sz="0" w:space="0" w:color="auto"/>
        <w:bottom w:val="none" w:sz="0" w:space="0" w:color="auto"/>
        <w:right w:val="none" w:sz="0" w:space="0" w:color="auto"/>
      </w:divBdr>
    </w:div>
    <w:div w:id="209192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undiscipliningvc.or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about:blan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creativecommons.org/licenses/by-nc/4.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3384</Words>
  <Characters>19290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Women of the World Unite?  Nineteenth-Century Women Writers</vt:lpstr>
    </vt:vector>
  </TitlesOfParts>
  <Manager/>
  <Company>Undisciplining the Victorian Classroom</Company>
  <LinksUpToDate>false</LinksUpToDate>
  <CharactersWithSpaces>22629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Women of the World Unite?  Nineteenth-Century Women Writers</dc:title>
  <dc:subject/>
  <dc:creator>Jesse Cordes Selbin </dc:creator>
  <cp:keywords/>
  <dc:description/>
  <cp:lastModifiedBy>Adrian Wisnicki</cp:lastModifiedBy>
  <cp:revision>3</cp:revision>
  <dcterms:created xsi:type="dcterms:W3CDTF">2021-07-20T23:54:00Z</dcterms:created>
  <dcterms:modified xsi:type="dcterms:W3CDTF">2021-07-20T23:54:00Z</dcterms:modified>
  <cp:category/>
</cp:coreProperties>
</file>