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Times New Roman" w:hAnsi="Times New Roman"/>
          <w:b/>
          <w:i w:val="0"/>
          <w:caps/>
          <w:color w:val="AE1C28"/>
          <w:sz w:val="16"/>
        </w:rPr>
        <w:t>CASE STUDY</w:t>
      </w:r>
    </w:p>
    <w:p>
      <w:pPr>
        <w:spacing w:before="0" w:after="400"/>
        <w:jc w:val="left"/>
      </w:pPr>
      <w:r>
        <w:rPr>
          <w:rFonts w:ascii="Times New Roman" w:hAnsi="Times New Roman"/>
          <w:b w:val="0"/>
          <w:i w:val="0"/>
          <w:caps w:val="0"/>
          <w:color w:val="555555"/>
          <w:sz w:val="18"/>
        </w:rPr>
        <w:t>ITEC-617  |  Kogod School of Business, American University  |  Spring 2026</w:t>
      </w:r>
    </w:p>
    <w:p>
      <w:pPr>
        <w:pBdr>
          <w:bottom w:val="single" w:sz="12" w:space="1" w:color="AE1C28"/>
        </w:pBdr>
        <w:spacing w:before="0" w:after="0"/>
        <w:jc w:val="both"/>
      </w:pPr>
    </w:p>
    <w:p>
      <w:pPr>
        <w:spacing w:before="360" w:after="200"/>
        <w:jc w:val="left"/>
      </w:pPr>
      <w:r>
        <w:rPr>
          <w:rFonts w:ascii="Times New Roman" w:hAnsi="Times New Roman"/>
          <w:b/>
          <w:i w:val="0"/>
          <w:caps w:val="0"/>
          <w:color w:val="333333"/>
          <w:sz w:val="40"/>
        </w:rPr>
        <w:t>Technical and Industry Supplement</w:t>
      </w:r>
    </w:p>
    <w:p>
      <w:pPr>
        <w:spacing w:before="0" w:after="280"/>
        <w:jc w:val="left"/>
      </w:pPr>
      <w:r>
        <w:rPr>
          <w:rFonts w:ascii="Times New Roman" w:hAnsi="Times New Roman"/>
          <w:b w:val="0"/>
          <w:i/>
          <w:caps w:val="0"/>
          <w:color w:val="555555"/>
          <w:sz w:val="24"/>
        </w:rPr>
        <w:t>Mayo Clinic: Building the Platform for the Future of Medicine</w:t>
      </w:r>
    </w:p>
    <w:p>
      <w:pPr>
        <w:pBdr>
          <w:bottom w:val="single" w:sz="4" w:space="1" w:color="AAAAAA"/>
        </w:pBdr>
        <w:spacing w:before="0" w:after="0"/>
        <w:jc w:val="both"/>
      </w:pPr>
    </w:p>
    <w:p>
      <w:pPr>
        <w:spacing w:before="80" w:after="40"/>
        <w:jc w:val="left"/>
      </w:pPr>
      <w:r>
        <w:rPr>
          <w:rFonts w:ascii="Times New Roman" w:hAnsi="Times New Roman"/>
          <w:b w:val="0"/>
          <w:i w:val="0"/>
          <w:caps w:val="0"/>
          <w:color w:val="555555"/>
          <w:sz w:val="18"/>
        </w:rPr>
        <w:t>Prepared by: Akshay Kumar</w:t>
      </w:r>
    </w:p>
    <w:p>
      <w:pPr>
        <w:spacing w:before="200" w:after="320"/>
        <w:jc w:val="left"/>
      </w:pPr>
      <w:r>
        <w:rPr>
          <w:rFonts w:ascii="Times New Roman" w:hAnsi="Times New Roman"/>
          <w:b w:val="0"/>
          <w:i/>
          <w:caps w:val="0"/>
          <w:color w:val="555555"/>
          <w:sz w:val="17"/>
        </w:rPr>
        <w:t>This case was developed with AI-assisted research using the Agentic AI Case Study Development methodology. All quotes and data are sourced from publicly available materials verified against original sources. Prepared for classroom discussion only. Not an endorsement or illustration of effective or ineffective management.</w:t>
      </w:r>
    </w:p>
    <w:p>
      <w:pPr>
        <w:pBdr>
          <w:bottom w:val="single" w:sz="6" w:space="1" w:color="AE1C28"/>
        </w:pBdr>
        <w:spacing w:before="0" w:after="0"/>
        <w:jc w:val="both"/>
      </w:pPr>
    </w:p>
    <w:p>
      <w:br w:type="page"/>
    </w:p>
    <w:p>
      <w:pPr>
        <w:spacing w:before="280" w:after="80"/>
        <w:jc w:val="left"/>
      </w:pPr>
      <w:r>
        <w:rPr>
          <w:rFonts w:ascii="Times New Roman" w:hAnsi="Times New Roman"/>
          <w:b/>
          <w:i w:val="0"/>
          <w:caps w:val="0"/>
          <w:color w:val="333333"/>
          <w:sz w:val="18"/>
        </w:rPr>
        <w:t>ITEC-617 | KOGOD SCHOOL OF BUSINESS, AMERICAN UNIVERSITY | SPRING 2026</w:t>
      </w:r>
    </w:p>
    <w:p>
      <w:pPr>
        <w:pBdr>
          <w:bottom w:val="single" w:sz="4" w:space="1" w:color="AAAAAA"/>
        </w:pBdr>
        <w:spacing w:before="0" w:after="0"/>
        <w:jc w:val="both"/>
      </w:pPr>
    </w:p>
    <w:p>
      <w:pPr>
        <w:spacing w:before="160" w:after="40"/>
        <w:ind w:left="720"/>
        <w:jc w:val="left"/>
      </w:pPr>
      <w:r>
        <w:rPr>
          <w:rFonts w:ascii="Times New Roman" w:hAnsi="Times New Roman"/>
          <w:b w:val="0"/>
          <w:i/>
          <w:caps w:val="0"/>
          <w:color w:val="555555"/>
          <w:sz w:val="21"/>
        </w:rPr>
        <w:t>“It provides industry context, technical background, and analytical frameworks. All data sourced from publicly available materials; source tiers indicated.”</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PART 1: INDUSTRY CONTEXT -- AI IN HEALTHCARE</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THE 2019-2020 INFLECTION POINT</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Dr. John Halamka joined Mayo Clinic Platform in January 2020 at a historically significant moment for health AI. Three forces converged between 2018 and 2020 to create conditions that had not previously existed:</w:t>
      </w:r>
    </w:p>
    <w:p>
      <w:pPr>
        <w:spacing w:before="0" w:after="100"/>
        <w:ind w:firstLine="0"/>
        <w:jc w:val="both"/>
      </w:pPr>
      <w:r>
        <w:rPr>
          <w:rFonts w:ascii="Times New Roman" w:hAnsi="Times New Roman"/>
          <w:b/>
          <w:i w:val="0"/>
          <w:caps w:val="0"/>
          <w:sz w:val="22"/>
        </w:rPr>
        <w:t>Algorithmic capability</w:t>
      </w:r>
      <w:r>
        <w:rPr>
          <w:rFonts w:ascii="Times New Roman" w:hAnsi="Times New Roman"/>
          <w:b w:val="0"/>
          <w:i w:val="0"/>
          <w:caps w:val="0"/>
          <w:sz w:val="22"/>
        </w:rPr>
        <w:t>: The 2017 publication of "Attention Is All You Need" (Vaswani et al., Google Brain) introduced the transformer architecture that would eventually power GPT-3, BERT, and all modern large language models. By 2020, researchers were applying transformer-based models to clinical notes, radiology images, and genomic sequences with performance that exceeded earlier approaches by significant margins.</w:t>
      </w:r>
    </w:p>
    <w:p>
      <w:pPr>
        <w:spacing w:before="0" w:after="100"/>
        <w:ind w:firstLine="0"/>
        <w:jc w:val="both"/>
      </w:pPr>
      <w:r>
        <w:rPr>
          <w:rFonts w:ascii="Times New Roman" w:hAnsi="Times New Roman"/>
          <w:b/>
          <w:i w:val="0"/>
          <w:caps w:val="0"/>
          <w:sz w:val="22"/>
        </w:rPr>
        <w:t>Regulatory clarification</w:t>
      </w:r>
      <w:r>
        <w:rPr>
          <w:rFonts w:ascii="Times New Roman" w:hAnsi="Times New Roman"/>
          <w:b w:val="0"/>
          <w:i w:val="0"/>
          <w:caps w:val="0"/>
          <w:sz w:val="22"/>
        </w:rPr>
        <w:t>: In 2019, the FDA published its "Proposed Regulatory Framework for Modifications to Artificial Intelligence/Machine Learning-Based Software as a Medical Device," providing the first structured guidance for how adaptive AI clinical tools would be regulated. This reduced uncertainty that had previously discouraged capital investment in clinical AI.</w:t>
      </w:r>
    </w:p>
    <w:p>
      <w:pPr>
        <w:spacing w:before="0" w:after="100"/>
        <w:ind w:firstLine="0"/>
        <w:jc w:val="both"/>
      </w:pPr>
      <w:r>
        <w:rPr>
          <w:rFonts w:ascii="Times New Roman" w:hAnsi="Times New Roman"/>
          <w:b/>
          <w:i w:val="0"/>
          <w:caps w:val="0"/>
          <w:sz w:val="22"/>
        </w:rPr>
        <w:t>Cloud infrastructure maturity</w:t>
      </w:r>
      <w:r>
        <w:rPr>
          <w:rFonts w:ascii="Times New Roman" w:hAnsi="Times New Roman"/>
          <w:b w:val="0"/>
          <w:i w:val="0"/>
          <w:caps w:val="0"/>
          <w:sz w:val="22"/>
        </w:rPr>
        <w:t>: Google Cloud, AWS, and Microsoft Azure each launched dedicated healthcare cloud environments (Google Cloud Healthcare API, AWS HealthLake, Azure Health Data Services) between 2017 and 2020. These environments offered HIPAA-compliant storage, FHIR-native data exchange, and GPU compute -- infrastructure that previously required tens of millions in capital expenditure from health systems themselves.</w:t>
      </w:r>
    </w:p>
    <w:p>
      <w:pPr>
        <w:spacing w:before="0" w:after="100"/>
        <w:ind w:firstLine="0"/>
        <w:jc w:val="both"/>
      </w:pPr>
      <w:r>
        <w:rPr>
          <w:rFonts w:ascii="Times New Roman" w:hAnsi="Times New Roman"/>
          <w:b w:val="0"/>
          <w:i w:val="0"/>
          <w:caps w:val="0"/>
          <w:sz w:val="22"/>
        </w:rPr>
        <w:t>These three forces created a window in which platforms combining institutional clinical data with cloud infrastructure and AI capability could potentially achieve durable competitive advantages. Mayo Clinic Platform's January 2020 founding was not coincidental to this timing.</w:t>
      </w:r>
    </w:p>
    <w:p>
      <w:pPr>
        <w:spacing w:before="280" w:after="80"/>
        <w:jc w:val="left"/>
      </w:pPr>
      <w:r>
        <w:rPr>
          <w:rFonts w:ascii="Times New Roman" w:hAnsi="Times New Roman"/>
          <w:b/>
          <w:i w:val="0"/>
          <w:caps w:val="0"/>
          <w:color w:val="333333"/>
          <w:sz w:val="18"/>
        </w:rPr>
        <w:t>MARKET OVERVIEW</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The global AI in healthcare market was valued at approximately $22.45 billion in 2023 and is projected to reach $208.23 billion by 2030, a compound annual growth rate of approximately 37.5%. Growth is driven by four factors:</w:t>
      </w:r>
    </w:p>
    <w:p>
      <w:pPr>
        <w:pStyle w:val="ListNumber"/>
        <w:spacing w:before="20" w:after="20"/>
        <w:jc w:val="left"/>
      </w:pPr>
      <w:r>
        <w:rPr>
          <w:rFonts w:ascii="Times New Roman" w:hAnsi="Times New Roman"/>
          <w:b/>
          <w:i w:val="0"/>
          <w:caps w:val="0"/>
          <w:sz w:val="21"/>
        </w:rPr>
        <w:t>Data accumulation</w:t>
      </w:r>
      <w:r>
        <w:rPr>
          <w:rFonts w:ascii="Times New Roman" w:hAnsi="Times New Roman"/>
          <w:b w:val="0"/>
          <w:i w:val="0"/>
          <w:caps w:val="0"/>
          <w:sz w:val="21"/>
        </w:rPr>
        <w:t>: Electronic health records (EHRs) mandated since the HITECH Act of 2009 have generated massive, standardized clinical datasets.</w:t>
      </w:r>
    </w:p>
    <w:p>
      <w:pPr>
        <w:pStyle w:val="ListNumber"/>
        <w:spacing w:before="20" w:after="20"/>
        <w:jc w:val="left"/>
      </w:pPr>
      <w:r>
        <w:rPr>
          <w:rFonts w:ascii="Times New Roman" w:hAnsi="Times New Roman"/>
          <w:b/>
          <w:i w:val="0"/>
          <w:caps w:val="0"/>
          <w:sz w:val="21"/>
        </w:rPr>
        <w:t>Compute availability</w:t>
      </w:r>
      <w:r>
        <w:rPr>
          <w:rFonts w:ascii="Times New Roman" w:hAnsi="Times New Roman"/>
          <w:b w:val="0"/>
          <w:i w:val="0"/>
          <w:caps w:val="0"/>
          <w:sz w:val="21"/>
        </w:rPr>
        <w:t>: Cloud infrastructure has made GPU-scale computation accessible to health systems that could not build it themselves.</w:t>
      </w:r>
    </w:p>
    <w:p>
      <w:pPr>
        <w:pStyle w:val="ListNumber"/>
        <w:spacing w:before="20" w:after="20"/>
        <w:jc w:val="left"/>
      </w:pPr>
      <w:r>
        <w:rPr>
          <w:rFonts w:ascii="Times New Roman" w:hAnsi="Times New Roman"/>
          <w:b/>
          <w:i w:val="0"/>
          <w:caps w:val="0"/>
          <w:sz w:val="21"/>
        </w:rPr>
        <w:t>Regulatory maturation</w:t>
      </w:r>
      <w:r>
        <w:rPr>
          <w:rFonts w:ascii="Times New Roman" w:hAnsi="Times New Roman"/>
          <w:b w:val="0"/>
          <w:i w:val="0"/>
          <w:caps w:val="0"/>
          <w:sz w:val="21"/>
        </w:rPr>
        <w:t>: FDA clearance pathways for AI/ML-based Software as a Medical Device (SaMD) have become more defined since 2021.</w:t>
      </w:r>
    </w:p>
    <w:p>
      <w:pPr>
        <w:pStyle w:val="ListNumber"/>
        <w:spacing w:before="20" w:after="20"/>
        <w:jc w:val="left"/>
      </w:pPr>
      <w:r>
        <w:rPr>
          <w:rFonts w:ascii="Times New Roman" w:hAnsi="Times New Roman"/>
          <w:b/>
          <w:i w:val="0"/>
          <w:caps w:val="0"/>
          <w:sz w:val="21"/>
        </w:rPr>
        <w:t>Workforce pressure</w:t>
      </w:r>
      <w:r>
        <w:rPr>
          <w:rFonts w:ascii="Times New Roman" w:hAnsi="Times New Roman"/>
          <w:b w:val="0"/>
          <w:i w:val="0"/>
          <w:caps w:val="0"/>
          <w:sz w:val="21"/>
        </w:rPr>
        <w:t>: Physician burnout, nursing shortages, and administrative documentation burden have created strong demand for AI automation.</w:t>
      </w:r>
    </w:p>
    <w:p>
      <w:pPr>
        <w:spacing w:before="280" w:after="80"/>
        <w:jc w:val="left"/>
      </w:pPr>
      <w:r>
        <w:rPr>
          <w:rFonts w:ascii="Times New Roman" w:hAnsi="Times New Roman"/>
          <w:b/>
          <w:i w:val="0"/>
          <w:caps w:val="0"/>
          <w:color w:val="333333"/>
          <w:sz w:val="18"/>
        </w:rPr>
        <w:t>KEY APPLICATION AREAS</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rFonts w:ascii="Times New Roman" w:hAnsi="Times New Roman"/>
                <w:b/>
                <w:i w:val="0"/>
                <w:caps w:val="0"/>
                <w:sz w:val="18"/>
              </w:rPr>
              <w:t>Application</w:t>
            </w:r>
          </w:p>
        </w:tc>
        <w:tc>
          <w:tcPr>
            <w:tcW w:type="dxa" w:w="2880"/>
          </w:tcPr>
          <w:p>
            <w:pPr>
              <w:spacing w:before="40" w:after="40"/>
            </w:pPr>
            <w:r/>
            <w:r>
              <w:rPr>
                <w:rFonts w:ascii="Times New Roman" w:hAnsi="Times New Roman"/>
                <w:b/>
                <w:i w:val="0"/>
                <w:caps w:val="0"/>
                <w:sz w:val="18"/>
              </w:rPr>
              <w:t>Description</w:t>
            </w:r>
          </w:p>
        </w:tc>
        <w:tc>
          <w:tcPr>
            <w:tcW w:type="dxa" w:w="2880"/>
          </w:tcPr>
          <w:p>
            <w:pPr>
              <w:spacing w:before="40" w:after="40"/>
            </w:pPr>
            <w:r/>
            <w:r>
              <w:rPr>
                <w:rFonts w:ascii="Times New Roman" w:hAnsi="Times New Roman"/>
                <w:b/>
                <w:i w:val="0"/>
                <w:caps w:val="0"/>
                <w:sz w:val="18"/>
              </w:rPr>
              <w:t>Maturity</w:t>
            </w:r>
          </w:p>
        </w:tc>
      </w:tr>
      <w:tr>
        <w:tc>
          <w:tcPr>
            <w:tcW w:type="dxa" w:w="2880"/>
          </w:tcPr>
          <w:p>
            <w:pPr>
              <w:spacing w:before="40" w:after="40"/>
            </w:pPr>
            <w:r/>
            <w:r>
              <w:rPr>
                <w:rFonts w:ascii="Times New Roman" w:hAnsi="Times New Roman"/>
                <w:b w:val="0"/>
                <w:i w:val="0"/>
                <w:caps w:val="0"/>
                <w:sz w:val="18"/>
              </w:rPr>
              <w:t>Clinical decision support</w:t>
            </w:r>
          </w:p>
        </w:tc>
        <w:tc>
          <w:tcPr>
            <w:tcW w:type="dxa" w:w="2880"/>
          </w:tcPr>
          <w:p>
            <w:pPr>
              <w:spacing w:before="40" w:after="40"/>
            </w:pPr>
            <w:r/>
            <w:r>
              <w:rPr>
                <w:rFonts w:ascii="Times New Roman" w:hAnsi="Times New Roman"/>
                <w:b w:val="0"/>
                <w:i w:val="0"/>
                <w:caps w:val="0"/>
                <w:sz w:val="18"/>
              </w:rPr>
              <w:t>Risk scoring, diagnostic flagging, treatment recommendation</w:t>
            </w:r>
          </w:p>
        </w:tc>
        <w:tc>
          <w:tcPr>
            <w:tcW w:type="dxa" w:w="2880"/>
          </w:tcPr>
          <w:p>
            <w:pPr>
              <w:spacing w:before="40" w:after="40"/>
            </w:pPr>
            <w:r/>
            <w:r>
              <w:rPr>
                <w:rFonts w:ascii="Times New Roman" w:hAnsi="Times New Roman"/>
                <w:b w:val="0"/>
                <w:i w:val="0"/>
                <w:caps w:val="0"/>
                <w:sz w:val="18"/>
              </w:rPr>
              <w:t>Deployed at scale</w:t>
            </w:r>
          </w:p>
        </w:tc>
      </w:tr>
      <w:tr>
        <w:tc>
          <w:tcPr>
            <w:tcW w:type="dxa" w:w="2880"/>
          </w:tcPr>
          <w:p>
            <w:pPr>
              <w:spacing w:before="40" w:after="40"/>
            </w:pPr>
            <w:r/>
            <w:r>
              <w:rPr>
                <w:rFonts w:ascii="Times New Roman" w:hAnsi="Times New Roman"/>
                <w:b w:val="0"/>
                <w:i w:val="0"/>
                <w:caps w:val="0"/>
                <w:sz w:val="18"/>
              </w:rPr>
              <w:t>Radiology AI</w:t>
            </w:r>
          </w:p>
        </w:tc>
        <w:tc>
          <w:tcPr>
            <w:tcW w:type="dxa" w:w="2880"/>
          </w:tcPr>
          <w:p>
            <w:pPr>
              <w:spacing w:before="40" w:after="40"/>
            </w:pPr>
            <w:r/>
            <w:r>
              <w:rPr>
                <w:rFonts w:ascii="Times New Roman" w:hAnsi="Times New Roman"/>
                <w:b w:val="0"/>
                <w:i w:val="0"/>
                <w:caps w:val="0"/>
                <w:sz w:val="18"/>
              </w:rPr>
              <w:t>Image analysis (CT, MRI, X-ray) for fractures, tumors, abnormalities</w:t>
            </w:r>
          </w:p>
        </w:tc>
        <w:tc>
          <w:tcPr>
            <w:tcW w:type="dxa" w:w="2880"/>
          </w:tcPr>
          <w:p>
            <w:pPr>
              <w:spacing w:before="40" w:after="40"/>
            </w:pPr>
            <w:r/>
            <w:r>
              <w:rPr>
                <w:rFonts w:ascii="Times New Roman" w:hAnsi="Times New Roman"/>
                <w:b w:val="0"/>
                <w:i w:val="0"/>
                <w:caps w:val="0"/>
                <w:sz w:val="18"/>
              </w:rPr>
              <w:t>Deployed at scale</w:t>
            </w:r>
          </w:p>
        </w:tc>
      </w:tr>
      <w:tr>
        <w:tc>
          <w:tcPr>
            <w:tcW w:type="dxa" w:w="2880"/>
          </w:tcPr>
          <w:p>
            <w:pPr>
              <w:spacing w:before="40" w:after="40"/>
            </w:pPr>
            <w:r/>
            <w:r>
              <w:rPr>
                <w:rFonts w:ascii="Times New Roman" w:hAnsi="Times New Roman"/>
                <w:b w:val="0"/>
                <w:i w:val="0"/>
                <w:caps w:val="0"/>
                <w:sz w:val="18"/>
              </w:rPr>
              <w:t>Administrative automation</w:t>
            </w:r>
          </w:p>
        </w:tc>
        <w:tc>
          <w:tcPr>
            <w:tcW w:type="dxa" w:w="2880"/>
          </w:tcPr>
          <w:p>
            <w:pPr>
              <w:spacing w:before="40" w:after="40"/>
            </w:pPr>
            <w:r/>
            <w:r>
              <w:rPr>
                <w:rFonts w:ascii="Times New Roman" w:hAnsi="Times New Roman"/>
                <w:b w:val="0"/>
                <w:i w:val="0"/>
                <w:caps w:val="0"/>
                <w:sz w:val="18"/>
              </w:rPr>
              <w:t>Prior authorization, clinical documentation, scheduling</w:t>
            </w:r>
          </w:p>
        </w:tc>
        <w:tc>
          <w:tcPr>
            <w:tcW w:type="dxa" w:w="2880"/>
          </w:tcPr>
          <w:p>
            <w:pPr>
              <w:spacing w:before="40" w:after="40"/>
            </w:pPr>
            <w:r/>
            <w:r>
              <w:rPr>
                <w:rFonts w:ascii="Times New Roman" w:hAnsi="Times New Roman"/>
                <w:b w:val="0"/>
                <w:i w:val="0"/>
                <w:caps w:val="0"/>
                <w:sz w:val="18"/>
              </w:rPr>
              <w:t>Rapidly growing</w:t>
            </w:r>
          </w:p>
        </w:tc>
      </w:tr>
      <w:tr>
        <w:tc>
          <w:tcPr>
            <w:tcW w:type="dxa" w:w="2880"/>
          </w:tcPr>
          <w:p>
            <w:pPr>
              <w:spacing w:before="40" w:after="40"/>
            </w:pPr>
            <w:r/>
            <w:r>
              <w:rPr>
                <w:rFonts w:ascii="Times New Roman" w:hAnsi="Times New Roman"/>
                <w:b w:val="0"/>
                <w:i w:val="0"/>
                <w:caps w:val="0"/>
                <w:sz w:val="18"/>
              </w:rPr>
              <w:t>Generative AI documentation</w:t>
            </w:r>
          </w:p>
        </w:tc>
        <w:tc>
          <w:tcPr>
            <w:tcW w:type="dxa" w:w="2880"/>
          </w:tcPr>
          <w:p>
            <w:pPr>
              <w:spacing w:before="40" w:after="40"/>
            </w:pPr>
            <w:r/>
            <w:r>
              <w:rPr>
                <w:rFonts w:ascii="Times New Roman" w:hAnsi="Times New Roman"/>
                <w:b w:val="0"/>
                <w:i w:val="0"/>
                <w:caps w:val="0"/>
                <w:sz w:val="18"/>
              </w:rPr>
              <w:t>Ambient AI scribes, note summarization, patient communication</w:t>
            </w:r>
          </w:p>
        </w:tc>
        <w:tc>
          <w:tcPr>
            <w:tcW w:type="dxa" w:w="2880"/>
          </w:tcPr>
          <w:p>
            <w:pPr>
              <w:spacing w:before="40" w:after="40"/>
            </w:pPr>
            <w:r/>
            <w:r>
              <w:rPr>
                <w:rFonts w:ascii="Times New Roman" w:hAnsi="Times New Roman"/>
                <w:b w:val="0"/>
                <w:i w:val="0"/>
                <w:caps w:val="0"/>
                <w:sz w:val="18"/>
              </w:rPr>
              <w:t>Early deployment</w:t>
            </w:r>
          </w:p>
        </w:tc>
      </w:tr>
      <w:tr>
        <w:tc>
          <w:tcPr>
            <w:tcW w:type="dxa" w:w="2880"/>
          </w:tcPr>
          <w:p>
            <w:pPr>
              <w:spacing w:before="40" w:after="40"/>
            </w:pPr>
            <w:r/>
            <w:r>
              <w:rPr>
                <w:rFonts w:ascii="Times New Roman" w:hAnsi="Times New Roman"/>
                <w:b w:val="0"/>
                <w:i w:val="0"/>
                <w:caps w:val="0"/>
                <w:sz w:val="18"/>
              </w:rPr>
              <w:t>Drug discovery</w:t>
            </w:r>
          </w:p>
        </w:tc>
        <w:tc>
          <w:tcPr>
            <w:tcW w:type="dxa" w:w="2880"/>
          </w:tcPr>
          <w:p>
            <w:pPr>
              <w:spacing w:before="40" w:after="40"/>
            </w:pPr>
            <w:r/>
            <w:r>
              <w:rPr>
                <w:rFonts w:ascii="Times New Roman" w:hAnsi="Times New Roman"/>
                <w:b w:val="0"/>
                <w:i w:val="0"/>
                <w:caps w:val="0"/>
                <w:sz w:val="18"/>
              </w:rPr>
              <w:t>Protein folding, compound screening, trial matching</w:t>
            </w:r>
          </w:p>
        </w:tc>
        <w:tc>
          <w:tcPr>
            <w:tcW w:type="dxa" w:w="2880"/>
          </w:tcPr>
          <w:p>
            <w:pPr>
              <w:spacing w:before="40" w:after="40"/>
            </w:pPr>
            <w:r/>
            <w:r>
              <w:rPr>
                <w:rFonts w:ascii="Times New Roman" w:hAnsi="Times New Roman"/>
                <w:b w:val="0"/>
                <w:i w:val="0"/>
                <w:caps w:val="0"/>
                <w:sz w:val="18"/>
              </w:rPr>
              <w:t>Research/early commercial</w:t>
            </w:r>
          </w:p>
        </w:tc>
      </w:tr>
      <w:tr>
        <w:tc>
          <w:tcPr>
            <w:tcW w:type="dxa" w:w="2880"/>
          </w:tcPr>
          <w:p>
            <w:pPr>
              <w:spacing w:before="40" w:after="40"/>
            </w:pPr>
            <w:r/>
            <w:r>
              <w:rPr>
                <w:rFonts w:ascii="Times New Roman" w:hAnsi="Times New Roman"/>
                <w:b w:val="0"/>
                <w:i w:val="0"/>
                <w:caps w:val="0"/>
                <w:sz w:val="18"/>
              </w:rPr>
              <w:t>Foundation models</w:t>
            </w:r>
          </w:p>
        </w:tc>
        <w:tc>
          <w:tcPr>
            <w:tcW w:type="dxa" w:w="2880"/>
          </w:tcPr>
          <w:p>
            <w:pPr>
              <w:spacing w:before="40" w:after="40"/>
            </w:pPr>
            <w:r/>
            <w:r>
              <w:rPr>
                <w:rFonts w:ascii="Times New Roman" w:hAnsi="Times New Roman"/>
                <w:b w:val="0"/>
                <w:i w:val="0"/>
                <w:caps w:val="0"/>
                <w:sz w:val="18"/>
              </w:rPr>
              <w:t>Large multimodal models trained on clinical data</w:t>
            </w:r>
          </w:p>
        </w:tc>
        <w:tc>
          <w:tcPr>
            <w:tcW w:type="dxa" w:w="2880"/>
          </w:tcPr>
          <w:p>
            <w:pPr>
              <w:spacing w:before="40" w:after="40"/>
            </w:pPr>
            <w:r/>
            <w:r>
              <w:rPr>
                <w:rFonts w:ascii="Times New Roman" w:hAnsi="Times New Roman"/>
                <w:b w:val="0"/>
                <w:i w:val="0"/>
                <w:caps w:val="0"/>
                <w:sz w:val="18"/>
              </w:rPr>
              <w:t>Emerging</w:t>
            </w:r>
          </w:p>
        </w:tc>
      </w:tr>
    </w:tbl>
    <w:p>
      <w:pPr>
        <w:spacing w:after="80"/>
      </w:pP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PART 2: THE PLATFORM MODEL IN HEALTHCARE</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WHAT IS A PLATFORM BUSINESS?</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Platform businesses differ from traditional product or service businesses in a fundamental way: they create value by facilitating interactions between two or more distinct user groups rather than by directly producing goods or services.</w:t>
      </w:r>
    </w:p>
    <w:p>
      <w:pPr>
        <w:spacing w:before="0" w:after="100"/>
        <w:ind w:firstLine="0"/>
        <w:jc w:val="both"/>
      </w:pPr>
      <w:r>
        <w:rPr>
          <w:rFonts w:ascii="Times New Roman" w:hAnsi="Times New Roman"/>
          <w:b w:val="0"/>
          <w:i w:val="0"/>
          <w:caps w:val="0"/>
          <w:sz w:val="22"/>
        </w:rPr>
        <w:t>The canonical examples -- Amazon (buyers and sellers), Uber (riders and drivers), App Store (developers and users) -- share three structural features:</w:t>
      </w:r>
    </w:p>
    <w:p>
      <w:pPr>
        <w:pStyle w:val="ListNumber"/>
        <w:spacing w:before="20" w:after="20"/>
        <w:jc w:val="left"/>
      </w:pPr>
      <w:r>
        <w:rPr>
          <w:rFonts w:ascii="Times New Roman" w:hAnsi="Times New Roman"/>
          <w:b/>
          <w:i w:val="0"/>
          <w:caps w:val="0"/>
          <w:sz w:val="21"/>
        </w:rPr>
        <w:t>Network effects</w:t>
      </w:r>
      <w:r>
        <w:rPr>
          <w:rFonts w:ascii="Times New Roman" w:hAnsi="Times New Roman"/>
          <w:b w:val="0"/>
          <w:i w:val="0"/>
          <w:caps w:val="0"/>
          <w:sz w:val="21"/>
        </w:rPr>
        <w:t>: The platform becomes more valuable as more participants join.</w:t>
      </w:r>
    </w:p>
    <w:p>
      <w:pPr>
        <w:pStyle w:val="ListNumber"/>
        <w:spacing w:before="20" w:after="20"/>
        <w:jc w:val="left"/>
      </w:pPr>
      <w:r>
        <w:rPr>
          <w:rFonts w:ascii="Times New Roman" w:hAnsi="Times New Roman"/>
          <w:b/>
          <w:i w:val="0"/>
          <w:caps w:val="0"/>
          <w:sz w:val="21"/>
        </w:rPr>
        <w:t>Data leverage</w:t>
      </w:r>
      <w:r>
        <w:rPr>
          <w:rFonts w:ascii="Times New Roman" w:hAnsi="Times New Roman"/>
          <w:b w:val="0"/>
          <w:i w:val="0"/>
          <w:caps w:val="0"/>
          <w:sz w:val="21"/>
        </w:rPr>
        <w:t>: Interactions generate data that improves the platform for everyone.</w:t>
      </w:r>
    </w:p>
    <w:p>
      <w:pPr>
        <w:pStyle w:val="ListNumber"/>
        <w:spacing w:before="20" w:after="20"/>
        <w:jc w:val="left"/>
      </w:pPr>
      <w:r>
        <w:rPr>
          <w:rFonts w:ascii="Times New Roman" w:hAnsi="Times New Roman"/>
          <w:b/>
          <w:i w:val="0"/>
          <w:caps w:val="0"/>
          <w:sz w:val="21"/>
        </w:rPr>
        <w:t>Ecosystem creation</w:t>
      </w:r>
      <w:r>
        <w:rPr>
          <w:rFonts w:ascii="Times New Roman" w:hAnsi="Times New Roman"/>
          <w:b w:val="0"/>
          <w:i w:val="0"/>
          <w:caps w:val="0"/>
          <w:sz w:val="21"/>
        </w:rPr>
        <w:t>: Third-party producers add value that the platform owner could not produce alone.</w:t>
      </w:r>
    </w:p>
    <w:p>
      <w:pPr>
        <w:spacing w:before="0" w:after="100"/>
        <w:ind w:firstLine="0"/>
        <w:jc w:val="both"/>
      </w:pPr>
      <w:r>
        <w:rPr>
          <w:rFonts w:ascii="Times New Roman" w:hAnsi="Times New Roman"/>
          <w:b w:val="0"/>
          <w:i w:val="0"/>
          <w:caps w:val="0"/>
          <w:sz w:val="22"/>
        </w:rPr>
        <w:t>Mayo Clinic Platform attempted to apply this logic to healthcare data. The patient data network, the solution developer ecosystem, and the distributed institutional data network all exhibit network effect characteristics: more data makes AI algorithms better; better algorithms attract more developers; more developers create more products that attract more institutional partners; more institutions contribute more data.</w:t>
      </w:r>
    </w:p>
    <w:p>
      <w:pPr>
        <w:spacing w:before="280" w:after="80"/>
        <w:jc w:val="left"/>
      </w:pPr>
      <w:r>
        <w:rPr>
          <w:rFonts w:ascii="Times New Roman" w:hAnsi="Times New Roman"/>
          <w:b/>
          <w:i w:val="0"/>
          <w:caps w:val="0"/>
          <w:color w:val="333333"/>
          <w:sz w:val="18"/>
        </w:rPr>
        <w:t>THE NETWORK EFFECT FLYWHEEL</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A visualization of Mayo Clinic Platform's intended network effects:</w:t>
      </w:r>
    </w:p>
    <w:p>
      <w:pPr>
        <w:spacing w:before="0" w:after="100"/>
        <w:ind w:firstLine="0"/>
        <w:jc w:val="both"/>
      </w:pPr>
      <w:r>
        <w:rPr>
          <w:rFonts w:ascii="Times New Roman" w:hAnsi="Times New Roman"/>
          <w:b w:val="0"/>
          <w:i w:val="0"/>
          <w:caps w:val="0"/>
          <w:sz w:val="22"/>
        </w:rPr>
        <w:t>```</w:t>
      </w:r>
    </w:p>
    <w:p>
      <w:pPr>
        <w:spacing w:before="0" w:after="100"/>
        <w:ind w:firstLine="0"/>
        <w:jc w:val="both"/>
      </w:pPr>
      <w:r>
        <w:rPr>
          <w:rFonts w:ascii="Times New Roman" w:hAnsi="Times New Roman"/>
          <w:b w:val="0"/>
          <w:i w:val="0"/>
          <w:caps w:val="0"/>
          <w:sz w:val="22"/>
        </w:rPr>
        <w:t>[More Institutional Data Partners]</w:t>
      </w:r>
    </w:p>
    <w:tbl>
      <w:tblPr>
        <w:tblStyle w:val="TableGrid"/>
        <w:tblW w:type="auto" w:w="0"/>
        <w:tblLook w:firstColumn="1" w:firstRow="1" w:lastColumn="0" w:lastRow="0" w:noHBand="0" w:noVBand="1" w:val="04A0"/>
      </w:tblPr>
      <w:tblGrid>
        <w:gridCol w:w="8640"/>
      </w:tblGrid>
      <w:tr>
        <w:tc>
          <w:tcPr>
            <w:tcW w:type="dxa" w:w="8640"/>
          </w:tcPr>
          <w:p>
            <w:pPr>
              <w:spacing w:before="40" w:after="40"/>
            </w:pPr>
            <w:r/>
            <w:r>
              <w:rPr>
                <w:rFonts w:ascii="Times New Roman" w:hAnsi="Times New Roman"/>
                <w:b/>
                <w:i w:val="0"/>
                <w:caps w:val="0"/>
                <w:sz w:val="18"/>
              </w:rPr>
            </w:r>
          </w:p>
        </w:tc>
      </w:tr>
    </w:tbl>
    <w:p>
      <w:pPr>
        <w:spacing w:after="80"/>
      </w:pPr>
    </w:p>
    <w:p>
      <w:pPr>
        <w:spacing w:before="0" w:after="100"/>
        <w:ind w:firstLine="0"/>
        <w:jc w:val="both"/>
      </w:pPr>
      <w:r>
        <w:rPr>
          <w:rFonts w:ascii="Times New Roman" w:hAnsi="Times New Roman"/>
          <w:b w:val="0"/>
          <w:i w:val="0"/>
          <w:caps w:val="0"/>
          <w:sz w:val="22"/>
        </w:rPr>
        <w:t>v</w:t>
      </w:r>
    </w:p>
    <w:p>
      <w:pPr>
        <w:spacing w:before="0" w:after="100"/>
        <w:ind w:firstLine="0"/>
        <w:jc w:val="both"/>
      </w:pPr>
      <w:r>
        <w:rPr>
          <w:rFonts w:ascii="Times New Roman" w:hAnsi="Times New Roman"/>
          <w:b w:val="0"/>
          <w:i w:val="0"/>
          <w:caps w:val="0"/>
          <w:sz w:val="22"/>
        </w:rPr>
        <w:t>[Larger, More Diverse Patient Dataset]</w:t>
      </w:r>
    </w:p>
    <w:tbl>
      <w:tblPr>
        <w:tblStyle w:val="TableGrid"/>
        <w:tblW w:type="auto" w:w="0"/>
        <w:tblLook w:firstColumn="1" w:firstRow="1" w:lastColumn="0" w:lastRow="0" w:noHBand="0" w:noVBand="1" w:val="04A0"/>
      </w:tblPr>
      <w:tblGrid>
        <w:gridCol w:w="8640"/>
      </w:tblGrid>
      <w:tr>
        <w:tc>
          <w:tcPr>
            <w:tcW w:type="dxa" w:w="8640"/>
          </w:tcPr>
          <w:p>
            <w:pPr>
              <w:spacing w:before="40" w:after="40"/>
            </w:pPr>
            <w:r/>
            <w:r>
              <w:rPr>
                <w:rFonts w:ascii="Times New Roman" w:hAnsi="Times New Roman"/>
                <w:b/>
                <w:i w:val="0"/>
                <w:caps w:val="0"/>
                <w:sz w:val="18"/>
              </w:rPr>
            </w:r>
          </w:p>
        </w:tc>
      </w:tr>
    </w:tbl>
    <w:p>
      <w:pPr>
        <w:spacing w:after="80"/>
      </w:pPr>
    </w:p>
    <w:p>
      <w:pPr>
        <w:spacing w:before="0" w:after="100"/>
        <w:ind w:firstLine="0"/>
        <w:jc w:val="both"/>
      </w:pPr>
      <w:r>
        <w:rPr>
          <w:rFonts w:ascii="Times New Roman" w:hAnsi="Times New Roman"/>
          <w:b w:val="0"/>
          <w:i w:val="0"/>
          <w:caps w:val="0"/>
          <w:sz w:val="22"/>
        </w:rPr>
        <w:t>v</w:t>
      </w:r>
    </w:p>
    <w:p>
      <w:pPr>
        <w:spacing w:before="0" w:after="100"/>
        <w:ind w:firstLine="0"/>
        <w:jc w:val="both"/>
      </w:pPr>
      <w:r>
        <w:rPr>
          <w:rFonts w:ascii="Times New Roman" w:hAnsi="Times New Roman"/>
          <w:b w:val="0"/>
          <w:i w:val="0"/>
          <w:caps w:val="0"/>
          <w:sz w:val="22"/>
        </w:rPr>
        <w:t>[Higher-Quality, More Generalizable AI Algorithms]</w:t>
      </w:r>
    </w:p>
    <w:tbl>
      <w:tblPr>
        <w:tblStyle w:val="TableGrid"/>
        <w:tblW w:type="auto" w:w="0"/>
        <w:tblLook w:firstColumn="1" w:firstRow="1" w:lastColumn="0" w:lastRow="0" w:noHBand="0" w:noVBand="1" w:val="04A0"/>
      </w:tblPr>
      <w:tblGrid>
        <w:gridCol w:w="8640"/>
      </w:tblGrid>
      <w:tr>
        <w:tc>
          <w:tcPr>
            <w:tcW w:type="dxa" w:w="8640"/>
          </w:tcPr>
          <w:p>
            <w:pPr>
              <w:spacing w:before="40" w:after="40"/>
            </w:pPr>
            <w:r/>
            <w:r>
              <w:rPr>
                <w:rFonts w:ascii="Times New Roman" w:hAnsi="Times New Roman"/>
                <w:b/>
                <w:i w:val="0"/>
                <w:caps w:val="0"/>
                <w:sz w:val="18"/>
              </w:rPr>
            </w:r>
          </w:p>
        </w:tc>
      </w:tr>
    </w:tbl>
    <w:p>
      <w:pPr>
        <w:spacing w:after="80"/>
      </w:pPr>
    </w:p>
    <w:p>
      <w:pPr>
        <w:spacing w:before="0" w:after="100"/>
        <w:ind w:firstLine="0"/>
        <w:jc w:val="both"/>
      </w:pPr>
      <w:r>
        <w:rPr>
          <w:rFonts w:ascii="Times New Roman" w:hAnsi="Times New Roman"/>
          <w:b w:val="0"/>
          <w:i w:val="0"/>
          <w:caps w:val="0"/>
          <w:sz w:val="22"/>
        </w:rPr>
        <w:t>v</w:t>
      </w:r>
    </w:p>
    <w:p>
      <w:pPr>
        <w:spacing w:before="0" w:after="100"/>
        <w:ind w:firstLine="0"/>
        <w:jc w:val="both"/>
      </w:pPr>
      <w:r>
        <w:rPr>
          <w:rFonts w:ascii="Times New Roman" w:hAnsi="Times New Roman"/>
          <w:b w:val="0"/>
          <w:i w:val="0"/>
          <w:caps w:val="0"/>
          <w:sz w:val="22"/>
        </w:rPr>
        <w:t>[More Attractive to Solution Developers]</w:t>
      </w:r>
    </w:p>
    <w:tbl>
      <w:tblPr>
        <w:tblStyle w:val="TableGrid"/>
        <w:tblW w:type="auto" w:w="0"/>
        <w:tblLook w:firstColumn="1" w:firstRow="1" w:lastColumn="0" w:lastRow="0" w:noHBand="0" w:noVBand="1" w:val="04A0"/>
      </w:tblPr>
      <w:tblGrid>
        <w:gridCol w:w="8640"/>
      </w:tblGrid>
      <w:tr>
        <w:tc>
          <w:tcPr>
            <w:tcW w:type="dxa" w:w="8640"/>
          </w:tcPr>
          <w:p>
            <w:pPr>
              <w:spacing w:before="40" w:after="40"/>
            </w:pPr>
            <w:r/>
            <w:r>
              <w:rPr>
                <w:rFonts w:ascii="Times New Roman" w:hAnsi="Times New Roman"/>
                <w:b/>
                <w:i w:val="0"/>
                <w:caps w:val="0"/>
                <w:sz w:val="18"/>
              </w:rPr>
            </w:r>
          </w:p>
        </w:tc>
      </w:tr>
    </w:tbl>
    <w:p>
      <w:pPr>
        <w:spacing w:after="80"/>
      </w:pPr>
    </w:p>
    <w:p>
      <w:pPr>
        <w:spacing w:before="0" w:after="100"/>
        <w:ind w:firstLine="0"/>
        <w:jc w:val="both"/>
      </w:pPr>
      <w:r>
        <w:rPr>
          <w:rFonts w:ascii="Times New Roman" w:hAnsi="Times New Roman"/>
          <w:b w:val="0"/>
          <w:i w:val="0"/>
          <w:caps w:val="0"/>
          <w:sz w:val="22"/>
        </w:rPr>
        <w:t>v</w:t>
      </w:r>
    </w:p>
    <w:p>
      <w:pPr>
        <w:spacing w:before="0" w:after="100"/>
        <w:ind w:firstLine="0"/>
        <w:jc w:val="both"/>
      </w:pPr>
      <w:r>
        <w:rPr>
          <w:rFonts w:ascii="Times New Roman" w:hAnsi="Times New Roman"/>
          <w:b w:val="0"/>
          <w:i w:val="0"/>
          <w:caps w:val="0"/>
          <w:sz w:val="22"/>
        </w:rPr>
        <w:t>[More AI Products Available to Health Systems]</w:t>
      </w:r>
    </w:p>
    <w:tbl>
      <w:tblPr>
        <w:tblStyle w:val="TableGrid"/>
        <w:tblW w:type="auto" w:w="0"/>
        <w:tblLook w:firstColumn="1" w:firstRow="1" w:lastColumn="0" w:lastRow="0" w:noHBand="0" w:noVBand="1" w:val="04A0"/>
      </w:tblPr>
      <w:tblGrid>
        <w:gridCol w:w="8640"/>
      </w:tblGrid>
      <w:tr>
        <w:tc>
          <w:tcPr>
            <w:tcW w:type="dxa" w:w="8640"/>
          </w:tcPr>
          <w:p>
            <w:pPr>
              <w:spacing w:before="40" w:after="40"/>
            </w:pPr>
            <w:r/>
            <w:r>
              <w:rPr>
                <w:rFonts w:ascii="Times New Roman" w:hAnsi="Times New Roman"/>
                <w:b/>
                <w:i w:val="0"/>
                <w:caps w:val="0"/>
                <w:sz w:val="18"/>
              </w:rPr>
            </w:r>
          </w:p>
        </w:tc>
      </w:tr>
    </w:tbl>
    <w:p>
      <w:pPr>
        <w:spacing w:after="80"/>
      </w:pPr>
    </w:p>
    <w:p>
      <w:pPr>
        <w:spacing w:before="0" w:after="100"/>
        <w:ind w:firstLine="0"/>
        <w:jc w:val="both"/>
      </w:pPr>
      <w:r>
        <w:rPr>
          <w:rFonts w:ascii="Times New Roman" w:hAnsi="Times New Roman"/>
          <w:b w:val="0"/>
          <w:i w:val="0"/>
          <w:caps w:val="0"/>
          <w:sz w:val="22"/>
        </w:rPr>
        <w:t>v</w:t>
      </w:r>
    </w:p>
    <w:p>
      <w:pPr>
        <w:spacing w:before="0" w:after="100"/>
        <w:ind w:firstLine="0"/>
        <w:jc w:val="both"/>
      </w:pPr>
      <w:r>
        <w:rPr>
          <w:rFonts w:ascii="Times New Roman" w:hAnsi="Times New Roman"/>
          <w:b w:val="0"/>
          <w:i w:val="0"/>
          <w:caps w:val="0"/>
          <w:sz w:val="22"/>
        </w:rPr>
        <w:t>[More Health Systems Join as Partners]</w:t>
      </w:r>
    </w:p>
    <w:tbl>
      <w:tblPr>
        <w:tblStyle w:val="TableGrid"/>
        <w:tblW w:type="auto" w:w="0"/>
        <w:tblLook w:firstColumn="1" w:firstRow="1" w:lastColumn="0" w:lastRow="0" w:noHBand="0" w:noVBand="1" w:val="04A0"/>
      </w:tblPr>
      <w:tblGrid>
        <w:gridCol w:w="8640"/>
      </w:tblGrid>
      <w:tr>
        <w:tc>
          <w:tcPr>
            <w:tcW w:type="dxa" w:w="8640"/>
          </w:tcPr>
          <w:p>
            <w:pPr>
              <w:spacing w:before="40" w:after="40"/>
            </w:pPr>
            <w:r/>
            <w:r>
              <w:rPr>
                <w:rFonts w:ascii="Times New Roman" w:hAnsi="Times New Roman"/>
                <w:b/>
                <w:i w:val="0"/>
                <w:caps w:val="0"/>
                <w:sz w:val="18"/>
              </w:rPr>
            </w:r>
          </w:p>
        </w:tc>
      </w:tr>
    </w:tbl>
    <w:p>
      <w:pPr>
        <w:spacing w:after="80"/>
      </w:pPr>
    </w:p>
    <w:p>
      <w:pPr>
        <w:spacing w:before="0" w:after="100"/>
        <w:ind w:firstLine="0"/>
        <w:jc w:val="both"/>
      </w:pPr>
      <w:r>
        <w:rPr>
          <w:rFonts w:ascii="Times New Roman" w:hAnsi="Times New Roman"/>
          <w:b w:val="0"/>
          <w:i w:val="0"/>
          <w:caps w:val="0"/>
          <w:sz w:val="22"/>
        </w:rPr>
        <w:t>+--&gt; [More Institutional Data Partners]  &lt;-- flywheel repeats</w:t>
      </w:r>
    </w:p>
    <w:p>
      <w:pPr>
        <w:spacing w:before="0" w:after="100"/>
        <w:ind w:firstLine="0"/>
        <w:jc w:val="both"/>
      </w:pPr>
      <w:r>
        <w:rPr>
          <w:rFonts w:ascii="Times New Roman" w:hAnsi="Times New Roman"/>
          <w:b w:val="0"/>
          <w:i w:val="0"/>
          <w:caps w:val="0"/>
          <w:sz w:val="22"/>
        </w:rPr>
        <w:t>```</w:t>
      </w:r>
    </w:p>
    <w:p>
      <w:pPr>
        <w:spacing w:before="0" w:after="100"/>
        <w:ind w:firstLine="0"/>
        <w:jc w:val="both"/>
      </w:pPr>
      <w:r>
        <w:rPr>
          <w:rFonts w:ascii="Times New Roman" w:hAnsi="Times New Roman"/>
          <w:b w:val="0"/>
          <w:i w:val="0"/>
          <w:caps w:val="0"/>
          <w:sz w:val="22"/>
        </w:rPr>
        <w:t>The critical strategic question: at what scale does this flywheel become self-sustaining? The Platform grew from a small set of institutional partners in 2021 to 61 health providers and 9 network partners by 2024, suggesting the flywheel was gaining momentum. Whether it has reached escape velocity -- the point at which competing platforms cannot easily replicate the combination -- is the strategic question the case leaves open.</w:t>
      </w:r>
    </w:p>
    <w:p>
      <w:pPr>
        <w:spacing w:before="280" w:after="80"/>
        <w:jc w:val="left"/>
      </w:pPr>
      <w:r>
        <w:rPr>
          <w:rFonts w:ascii="Times New Roman" w:hAnsi="Times New Roman"/>
          <w:b/>
          <w:i w:val="0"/>
          <w:caps w:val="0"/>
          <w:color w:val="333333"/>
          <w:sz w:val="18"/>
        </w:rPr>
        <w:t>THE MULTI-HOMING PROBLEM</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A risk for any platform is "multi-homing": the ability of participants on one or both sides to simultaneously use competing platforms. For Mayo Clinic Platform:</w:t>
      </w:r>
    </w:p>
    <w:p>
      <w:pPr>
        <w:pStyle w:val="ListBullet"/>
        <w:spacing w:before="20" w:after="20"/>
        <w:jc w:val="left"/>
      </w:pPr>
      <w:r>
        <w:rPr>
          <w:rFonts w:ascii="Times New Roman" w:hAnsi="Times New Roman"/>
          <w:b/>
          <w:i w:val="0"/>
          <w:caps w:val="0"/>
          <w:sz w:val="21"/>
        </w:rPr>
        <w:t>Developer multi-homing</w:t>
      </w:r>
      <w:r>
        <w:rPr>
          <w:rFonts w:ascii="Times New Roman" w:hAnsi="Times New Roman"/>
          <w:b w:val="0"/>
          <w:i w:val="0"/>
          <w:caps w:val="0"/>
          <w:sz w:val="21"/>
        </w:rPr>
        <w:t>: A health AI startup can request access to Mayo's enclave AND participate in Epic's App Orchard AND build on Google's Med-PaLM APIs. Mayo does not hold exclusive relationships with most developers.</w:t>
      </w:r>
    </w:p>
    <w:p>
      <w:pPr>
        <w:pStyle w:val="ListBullet"/>
        <w:spacing w:before="20" w:after="20"/>
        <w:jc w:val="left"/>
      </w:pPr>
      <w:r>
        <w:rPr>
          <w:rFonts w:ascii="Times New Roman" w:hAnsi="Times New Roman"/>
          <w:b/>
          <w:i w:val="0"/>
          <w:caps w:val="0"/>
          <w:sz w:val="21"/>
        </w:rPr>
        <w:t>Institutional multi-homing</w:t>
      </w:r>
      <w:r>
        <w:rPr>
          <w:rFonts w:ascii="Times New Roman" w:hAnsi="Times New Roman"/>
          <w:b w:val="0"/>
          <w:i w:val="0"/>
          <w:caps w:val="0"/>
          <w:sz w:val="21"/>
        </w:rPr>
        <w:t>: A health system can join Mayo's distributed data network AND use Microsoft Azure Health AND maintain its own Epic EHR. Switching costs are low in the early stages.</w:t>
      </w:r>
    </w:p>
    <w:p>
      <w:pPr>
        <w:spacing w:before="0" w:after="100"/>
        <w:ind w:firstLine="0"/>
        <w:jc w:val="both"/>
      </w:pPr>
      <w:r>
        <w:rPr>
          <w:rFonts w:ascii="Times New Roman" w:hAnsi="Times New Roman"/>
          <w:b w:val="0"/>
          <w:i w:val="0"/>
          <w:caps w:val="0"/>
          <w:sz w:val="22"/>
        </w:rPr>
        <w:t>Multi-homing reduces the platform's power over its participants and limits its ability to capture value. Halamka's implicit response to this risk was to emphasize that the *combination* -- validated data, the Mayo brand, and clinical credibility -- was not replicable by any single technology competitor. The data under glass architecture also creates switching costs over time: once an institution has built governance infrastructure around the federated model, moving to a centralized alternative requires rebuilding that infrastructure from scratch.</w:t>
      </w:r>
    </w:p>
    <w:p>
      <w:pPr>
        <w:spacing w:before="280" w:after="80"/>
        <w:jc w:val="left"/>
      </w:pPr>
      <w:r>
        <w:rPr>
          <w:rFonts w:ascii="Times New Roman" w:hAnsi="Times New Roman"/>
          <w:b/>
          <w:i w:val="0"/>
          <w:caps w:val="0"/>
          <w:color w:val="333333"/>
          <w:sz w:val="18"/>
        </w:rPr>
        <w:t>THE "CONVENER" VS. "CONTROLLER" MODEL</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Traditional platform owners (Apple, Google, Amazon) exercise strong control over who participates and on what terms. Halamka chose a different posture -- the "convener" model -- in which Mayo primarily sets standards and validates participants rather than controlling the underlying technology. This choice reflects both the regulatory environment (health data is more tightly regulated than consumer data) and the mission context (a nonprofit has legitimacy constraints a commercial platform does not).</w:t>
      </w:r>
    </w:p>
    <w:p>
      <w:pPr>
        <w:spacing w:before="0" w:after="100"/>
        <w:ind w:firstLine="0"/>
        <w:jc w:val="both"/>
      </w:pPr>
      <w:r>
        <w:rPr>
          <w:rFonts w:ascii="Times New Roman" w:hAnsi="Times New Roman"/>
          <w:b w:val="0"/>
          <w:i w:val="0"/>
          <w:caps w:val="0"/>
          <w:sz w:val="22"/>
        </w:rPr>
        <w:t>The convener model sacrifices control for legitimacy. It may also sacrifice long-term revenue capture: if Mayo's primary function is validation and certification rather than proprietary technology, participants who complete the validation pipeline may route around Mayo in subsequent product iterations.</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PART 3: THE "DATA UNDER GLASS" ARCHITECTURE</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TECHNICAL DESIGN</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Mayo Clinic Platform's central technical innovation was a federated learning architecture that the National Academies of Sciences described as "data under glass."</w:t>
      </w:r>
    </w:p>
    <w:p>
      <w:pPr>
        <w:spacing w:before="0" w:after="100"/>
        <w:ind w:firstLine="0"/>
        <w:jc w:val="both"/>
      </w:pPr>
      <w:r>
        <w:rPr>
          <w:rFonts w:ascii="Times New Roman" w:hAnsi="Times New Roman"/>
          <w:b/>
          <w:i w:val="0"/>
          <w:caps w:val="0"/>
          <w:sz w:val="22"/>
        </w:rPr>
        <w:t>Traditional data sharing model:</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rFonts w:ascii="Times New Roman" w:hAnsi="Times New Roman"/>
                <w:b/>
                <w:i w:val="0"/>
                <w:caps w:val="0"/>
                <w:sz w:val="18"/>
              </w:rPr>
              <w:t>Step</w:t>
            </w:r>
          </w:p>
        </w:tc>
        <w:tc>
          <w:tcPr>
            <w:tcW w:type="dxa" w:w="2880"/>
          </w:tcPr>
          <w:p>
            <w:pPr>
              <w:spacing w:before="40" w:after="40"/>
            </w:pPr>
            <w:r/>
            <w:r>
              <w:rPr>
                <w:rFonts w:ascii="Times New Roman" w:hAnsi="Times New Roman"/>
                <w:b/>
                <w:i w:val="0"/>
                <w:caps w:val="0"/>
                <w:sz w:val="18"/>
              </w:rPr>
              <w:t>Action</w:t>
            </w:r>
          </w:p>
        </w:tc>
        <w:tc>
          <w:tcPr>
            <w:tcW w:type="dxa" w:w="2880"/>
          </w:tcPr>
          <w:p>
            <w:pPr>
              <w:spacing w:before="40" w:after="40"/>
            </w:pPr>
            <w:r/>
            <w:r>
              <w:rPr>
                <w:rFonts w:ascii="Times New Roman" w:hAnsi="Times New Roman"/>
                <w:b/>
                <w:i w:val="0"/>
                <w:caps w:val="0"/>
                <w:sz w:val="18"/>
              </w:rPr>
              <w:t>Risk</w:t>
            </w:r>
          </w:p>
        </w:tc>
      </w:tr>
      <w:tr>
        <w:tc>
          <w:tcPr>
            <w:tcW w:type="dxa" w:w="2880"/>
          </w:tcPr>
          <w:p>
            <w:pPr>
              <w:spacing w:before="40" w:after="40"/>
            </w:pPr>
            <w:r/>
            <w:r>
              <w:rPr>
                <w:rFonts w:ascii="Times New Roman" w:hAnsi="Times New Roman"/>
                <w:b w:val="0"/>
                <w:i w:val="0"/>
                <w:caps w:val="0"/>
                <w:sz w:val="18"/>
              </w:rPr>
              <w:t>1</w:t>
            </w:r>
          </w:p>
        </w:tc>
        <w:tc>
          <w:tcPr>
            <w:tcW w:type="dxa" w:w="2880"/>
          </w:tcPr>
          <w:p>
            <w:pPr>
              <w:spacing w:before="40" w:after="40"/>
            </w:pPr>
            <w:r/>
            <w:r>
              <w:rPr>
                <w:rFonts w:ascii="Times New Roman" w:hAnsi="Times New Roman"/>
                <w:b w:val="0"/>
                <w:i w:val="0"/>
                <w:caps w:val="0"/>
                <w:sz w:val="18"/>
              </w:rPr>
              <w:t>Institution transfers data to third party</w:t>
            </w:r>
          </w:p>
        </w:tc>
        <w:tc>
          <w:tcPr>
            <w:tcW w:type="dxa" w:w="2880"/>
          </w:tcPr>
          <w:p>
            <w:pPr>
              <w:spacing w:before="40" w:after="40"/>
            </w:pPr>
            <w:r/>
            <w:r>
              <w:rPr>
                <w:rFonts w:ascii="Times New Roman" w:hAnsi="Times New Roman"/>
                <w:b w:val="0"/>
                <w:i w:val="0"/>
                <w:caps w:val="0"/>
                <w:sz w:val="18"/>
              </w:rPr>
              <w:t>Data leaves institutional control</w:t>
            </w:r>
          </w:p>
        </w:tc>
      </w:tr>
      <w:tr>
        <w:tc>
          <w:tcPr>
            <w:tcW w:type="dxa" w:w="2880"/>
          </w:tcPr>
          <w:p>
            <w:pPr>
              <w:spacing w:before="40" w:after="40"/>
            </w:pPr>
            <w:r/>
            <w:r>
              <w:rPr>
                <w:rFonts w:ascii="Times New Roman" w:hAnsi="Times New Roman"/>
                <w:b w:val="0"/>
                <w:i w:val="0"/>
                <w:caps w:val="0"/>
                <w:sz w:val="18"/>
              </w:rPr>
              <w:t>2</w:t>
            </w:r>
          </w:p>
        </w:tc>
        <w:tc>
          <w:tcPr>
            <w:tcW w:type="dxa" w:w="2880"/>
          </w:tcPr>
          <w:p>
            <w:pPr>
              <w:spacing w:before="40" w:after="40"/>
            </w:pPr>
            <w:r/>
            <w:r>
              <w:rPr>
                <w:rFonts w:ascii="Times New Roman" w:hAnsi="Times New Roman"/>
                <w:b w:val="0"/>
                <w:i w:val="0"/>
                <w:caps w:val="0"/>
                <w:sz w:val="18"/>
              </w:rPr>
              <w:t>Third party trains model on transferred data</w:t>
            </w:r>
          </w:p>
        </w:tc>
        <w:tc>
          <w:tcPr>
            <w:tcW w:type="dxa" w:w="2880"/>
          </w:tcPr>
          <w:p>
            <w:pPr>
              <w:spacing w:before="40" w:after="40"/>
            </w:pPr>
            <w:r/>
            <w:r>
              <w:rPr>
                <w:rFonts w:ascii="Times New Roman" w:hAnsi="Times New Roman"/>
                <w:b w:val="0"/>
                <w:i w:val="0"/>
                <w:caps w:val="0"/>
                <w:sz w:val="18"/>
              </w:rPr>
              <w:t>Privacy exposure during training</w:t>
            </w:r>
          </w:p>
        </w:tc>
      </w:tr>
      <w:tr>
        <w:tc>
          <w:tcPr>
            <w:tcW w:type="dxa" w:w="2880"/>
          </w:tcPr>
          <w:p>
            <w:pPr>
              <w:spacing w:before="40" w:after="40"/>
            </w:pPr>
            <w:r/>
            <w:r>
              <w:rPr>
                <w:rFonts w:ascii="Times New Roman" w:hAnsi="Times New Roman"/>
                <w:b w:val="0"/>
                <w:i w:val="0"/>
                <w:caps w:val="0"/>
                <w:sz w:val="18"/>
              </w:rPr>
              <w:t>3</w:t>
            </w:r>
          </w:p>
        </w:tc>
        <w:tc>
          <w:tcPr>
            <w:tcW w:type="dxa" w:w="2880"/>
          </w:tcPr>
          <w:p>
            <w:pPr>
              <w:spacing w:before="40" w:after="40"/>
            </w:pPr>
            <w:r/>
            <w:r>
              <w:rPr>
                <w:rFonts w:ascii="Times New Roman" w:hAnsi="Times New Roman"/>
                <w:b w:val="0"/>
                <w:i w:val="0"/>
                <w:caps w:val="0"/>
                <w:sz w:val="18"/>
              </w:rPr>
              <w:t>Third party returns model to institution</w:t>
            </w:r>
          </w:p>
        </w:tc>
        <w:tc>
          <w:tcPr>
            <w:tcW w:type="dxa" w:w="2880"/>
          </w:tcPr>
          <w:p>
            <w:pPr>
              <w:spacing w:before="40" w:after="40"/>
            </w:pPr>
            <w:r/>
            <w:r>
              <w:rPr>
                <w:rFonts w:ascii="Times New Roman" w:hAnsi="Times New Roman"/>
                <w:b w:val="0"/>
                <w:i w:val="0"/>
                <w:caps w:val="0"/>
                <w:sz w:val="18"/>
              </w:rPr>
              <w:t>Data cannot be "un-transferred"</w:t>
            </w:r>
          </w:p>
        </w:tc>
      </w:tr>
      <w:tr>
        <w:tc>
          <w:tcPr>
            <w:tcW w:type="dxa" w:w="2880"/>
          </w:tcPr>
          <w:p>
            <w:pPr>
              <w:spacing w:before="40" w:after="40"/>
            </w:pPr>
            <w:r/>
            <w:r>
              <w:rPr>
                <w:rFonts w:ascii="Times New Roman" w:hAnsi="Times New Roman"/>
                <w:b w:val="0"/>
                <w:i w:val="0"/>
                <w:caps w:val="0"/>
                <w:sz w:val="18"/>
              </w:rPr>
              <w:t>4</w:t>
            </w:r>
          </w:p>
        </w:tc>
        <w:tc>
          <w:tcPr>
            <w:tcW w:type="dxa" w:w="2880"/>
          </w:tcPr>
          <w:p>
            <w:pPr>
              <w:spacing w:before="40" w:after="40"/>
            </w:pPr>
            <w:r/>
            <w:r>
              <w:rPr>
                <w:rFonts w:ascii="Times New Roman" w:hAnsi="Times New Roman"/>
                <w:b w:val="0"/>
                <w:i w:val="0"/>
                <w:caps w:val="0"/>
                <w:sz w:val="18"/>
              </w:rPr>
              <w:t>Institution uses model in clinical setting</w:t>
            </w:r>
          </w:p>
        </w:tc>
        <w:tc>
          <w:tcPr>
            <w:tcW w:type="dxa" w:w="2880"/>
          </w:tcPr>
          <w:p>
            <w:pPr>
              <w:spacing w:before="40" w:after="40"/>
            </w:pPr>
            <w:r/>
            <w:r>
              <w:rPr>
                <w:rFonts w:ascii="Times New Roman" w:hAnsi="Times New Roman"/>
                <w:b w:val="0"/>
                <w:i w:val="0"/>
                <w:caps w:val="0"/>
                <w:sz w:val="18"/>
              </w:rPr>
              <w:t>Ongoing residual re-identification risk</w:t>
            </w:r>
          </w:p>
        </w:tc>
      </w:tr>
    </w:tbl>
    <w:p>
      <w:pPr>
        <w:spacing w:after="80"/>
      </w:pPr>
    </w:p>
    <w:p>
      <w:pPr>
        <w:spacing w:before="0" w:after="100"/>
        <w:ind w:firstLine="0"/>
        <w:jc w:val="both"/>
      </w:pPr>
      <w:r>
        <w:rPr>
          <w:rFonts w:ascii="Times New Roman" w:hAnsi="Times New Roman"/>
          <w:b/>
          <w:i w:val="0"/>
          <w:caps w:val="0"/>
          <w:sz w:val="22"/>
        </w:rPr>
        <w:t>Data under glass (federated) model:</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rFonts w:ascii="Times New Roman" w:hAnsi="Times New Roman"/>
                <w:b/>
                <w:i w:val="0"/>
                <w:caps w:val="0"/>
                <w:sz w:val="18"/>
              </w:rPr>
              <w:t>Step</w:t>
            </w:r>
          </w:p>
        </w:tc>
        <w:tc>
          <w:tcPr>
            <w:tcW w:type="dxa" w:w="2880"/>
          </w:tcPr>
          <w:p>
            <w:pPr>
              <w:spacing w:before="40" w:after="40"/>
            </w:pPr>
            <w:r/>
            <w:r>
              <w:rPr>
                <w:rFonts w:ascii="Times New Roman" w:hAnsi="Times New Roman"/>
                <w:b/>
                <w:i w:val="0"/>
                <w:caps w:val="0"/>
                <w:sz w:val="18"/>
              </w:rPr>
              <w:t>Action</w:t>
            </w:r>
          </w:p>
        </w:tc>
        <w:tc>
          <w:tcPr>
            <w:tcW w:type="dxa" w:w="2880"/>
          </w:tcPr>
          <w:p>
            <w:pPr>
              <w:spacing w:before="40" w:after="40"/>
            </w:pPr>
            <w:r/>
            <w:r>
              <w:rPr>
                <w:rFonts w:ascii="Times New Roman" w:hAnsi="Times New Roman"/>
                <w:b/>
                <w:i w:val="0"/>
                <w:caps w:val="0"/>
                <w:sz w:val="18"/>
              </w:rPr>
              <w:t>Safeguard</w:t>
            </w:r>
          </w:p>
        </w:tc>
      </w:tr>
      <w:tr>
        <w:tc>
          <w:tcPr>
            <w:tcW w:type="dxa" w:w="2880"/>
          </w:tcPr>
          <w:p>
            <w:pPr>
              <w:spacing w:before="40" w:after="40"/>
            </w:pPr>
            <w:r/>
            <w:r>
              <w:rPr>
                <w:rFonts w:ascii="Times New Roman" w:hAnsi="Times New Roman"/>
                <w:b w:val="0"/>
                <w:i w:val="0"/>
                <w:caps w:val="0"/>
                <w:sz w:val="18"/>
              </w:rPr>
              <w:t>1</w:t>
            </w:r>
          </w:p>
        </w:tc>
        <w:tc>
          <w:tcPr>
            <w:tcW w:type="dxa" w:w="2880"/>
          </w:tcPr>
          <w:p>
            <w:pPr>
              <w:spacing w:before="40" w:after="40"/>
            </w:pPr>
            <w:r/>
            <w:r>
              <w:rPr>
                <w:rFonts w:ascii="Times New Roman" w:hAnsi="Times New Roman"/>
                <w:b w:val="0"/>
                <w:i w:val="0"/>
                <w:caps w:val="0"/>
                <w:sz w:val="18"/>
              </w:rPr>
              <w:t>Institution maintains data in private enclave</w:t>
            </w:r>
          </w:p>
        </w:tc>
        <w:tc>
          <w:tcPr>
            <w:tcW w:type="dxa" w:w="2880"/>
          </w:tcPr>
          <w:p>
            <w:pPr>
              <w:spacing w:before="40" w:after="40"/>
            </w:pPr>
            <w:r/>
            <w:r>
              <w:rPr>
                <w:rFonts w:ascii="Times New Roman" w:hAnsi="Times New Roman"/>
                <w:b w:val="0"/>
                <w:i w:val="0"/>
                <w:caps w:val="0"/>
                <w:sz w:val="18"/>
              </w:rPr>
              <w:t>Data never leaves home jurisdiction</w:t>
            </w:r>
          </w:p>
        </w:tc>
      </w:tr>
      <w:tr>
        <w:tc>
          <w:tcPr>
            <w:tcW w:type="dxa" w:w="2880"/>
          </w:tcPr>
          <w:p>
            <w:pPr>
              <w:spacing w:before="40" w:after="40"/>
            </w:pPr>
            <w:r/>
            <w:r>
              <w:rPr>
                <w:rFonts w:ascii="Times New Roman" w:hAnsi="Times New Roman"/>
                <w:b w:val="0"/>
                <w:i w:val="0"/>
                <w:caps w:val="0"/>
                <w:sz w:val="18"/>
              </w:rPr>
              <w:t>2</w:t>
            </w:r>
          </w:p>
        </w:tc>
        <w:tc>
          <w:tcPr>
            <w:tcW w:type="dxa" w:w="2880"/>
          </w:tcPr>
          <w:p>
            <w:pPr>
              <w:spacing w:before="40" w:after="40"/>
            </w:pPr>
            <w:r/>
            <w:r>
              <w:rPr>
                <w:rFonts w:ascii="Times New Roman" w:hAnsi="Times New Roman"/>
                <w:b w:val="0"/>
                <w:i w:val="0"/>
                <w:caps w:val="0"/>
                <w:sz w:val="18"/>
              </w:rPr>
              <w:t>Third party sends algorithm INTO the enclave</w:t>
            </w:r>
          </w:p>
        </w:tc>
        <w:tc>
          <w:tcPr>
            <w:tcW w:type="dxa" w:w="2880"/>
          </w:tcPr>
          <w:p>
            <w:pPr>
              <w:spacing w:before="40" w:after="40"/>
            </w:pPr>
            <w:r/>
            <w:r>
              <w:rPr>
                <w:rFonts w:ascii="Times New Roman" w:hAnsi="Times New Roman"/>
                <w:b w:val="0"/>
                <w:i w:val="0"/>
                <w:caps w:val="0"/>
                <w:sz w:val="18"/>
              </w:rPr>
              <w:t>Operator reviews algorithm before entry</w:t>
            </w:r>
          </w:p>
        </w:tc>
      </w:tr>
      <w:tr>
        <w:tc>
          <w:tcPr>
            <w:tcW w:type="dxa" w:w="2880"/>
          </w:tcPr>
          <w:p>
            <w:pPr>
              <w:spacing w:before="40" w:after="40"/>
            </w:pPr>
            <w:r/>
            <w:r>
              <w:rPr>
                <w:rFonts w:ascii="Times New Roman" w:hAnsi="Times New Roman"/>
                <w:b w:val="0"/>
                <w:i w:val="0"/>
                <w:caps w:val="0"/>
                <w:sz w:val="18"/>
              </w:rPr>
              <w:t>3</w:t>
            </w:r>
          </w:p>
        </w:tc>
        <w:tc>
          <w:tcPr>
            <w:tcW w:type="dxa" w:w="2880"/>
          </w:tcPr>
          <w:p>
            <w:pPr>
              <w:spacing w:before="40" w:after="40"/>
            </w:pPr>
            <w:r/>
            <w:r>
              <w:rPr>
                <w:rFonts w:ascii="Times New Roman" w:hAnsi="Times New Roman"/>
                <w:b w:val="0"/>
                <w:i w:val="0"/>
                <w:caps w:val="0"/>
                <w:sz w:val="18"/>
              </w:rPr>
              <w:t>Algorithm trains on data inside the enclave</w:t>
            </w:r>
          </w:p>
        </w:tc>
        <w:tc>
          <w:tcPr>
            <w:tcW w:type="dxa" w:w="2880"/>
          </w:tcPr>
          <w:p>
            <w:pPr>
              <w:spacing w:before="40" w:after="40"/>
            </w:pPr>
            <w:r/>
            <w:r>
              <w:rPr>
                <w:rFonts w:ascii="Times New Roman" w:hAnsi="Times New Roman"/>
                <w:b w:val="0"/>
                <w:i w:val="0"/>
                <w:caps w:val="0"/>
                <w:sz w:val="18"/>
              </w:rPr>
              <w:t>"Bin size of 10" rule applied to all outputs</w:t>
            </w:r>
          </w:p>
        </w:tc>
      </w:tr>
      <w:tr>
        <w:tc>
          <w:tcPr>
            <w:tcW w:type="dxa" w:w="2880"/>
          </w:tcPr>
          <w:p>
            <w:pPr>
              <w:spacing w:before="40" w:after="40"/>
            </w:pPr>
            <w:r/>
            <w:r>
              <w:rPr>
                <w:rFonts w:ascii="Times New Roman" w:hAnsi="Times New Roman"/>
                <w:b w:val="0"/>
                <w:i w:val="0"/>
                <w:caps w:val="0"/>
                <w:sz w:val="18"/>
              </w:rPr>
              <w:t>4</w:t>
            </w:r>
          </w:p>
        </w:tc>
        <w:tc>
          <w:tcPr>
            <w:tcW w:type="dxa" w:w="2880"/>
          </w:tcPr>
          <w:p>
            <w:pPr>
              <w:spacing w:before="40" w:after="40"/>
            </w:pPr>
            <w:r/>
            <w:r>
              <w:rPr>
                <w:rFonts w:ascii="Times New Roman" w:hAnsi="Times New Roman"/>
                <w:b w:val="0"/>
                <w:i w:val="0"/>
                <w:caps w:val="0"/>
                <w:sz w:val="18"/>
              </w:rPr>
              <w:t>Only the trained model (not data) exits enclave</w:t>
            </w:r>
          </w:p>
        </w:tc>
        <w:tc>
          <w:tcPr>
            <w:tcW w:type="dxa" w:w="2880"/>
          </w:tcPr>
          <w:p>
            <w:pPr>
              <w:spacing w:before="40" w:after="40"/>
            </w:pPr>
            <w:r/>
            <w:r>
              <w:rPr>
                <w:rFonts w:ascii="Times New Roman" w:hAnsi="Times New Roman"/>
                <w:b w:val="0"/>
                <w:i w:val="0"/>
                <w:caps w:val="0"/>
                <w:sz w:val="18"/>
              </w:rPr>
              <w:t>Post-exit: model audited before clinical use</w:t>
            </w:r>
          </w:p>
        </w:tc>
      </w:tr>
    </w:tbl>
    <w:p>
      <w:pPr>
        <w:spacing w:after="80"/>
      </w:pPr>
    </w:p>
    <w:p>
      <w:pPr>
        <w:spacing w:before="0" w:after="100"/>
        <w:ind w:firstLine="0"/>
        <w:jc w:val="both"/>
      </w:pPr>
      <w:r>
        <w:rPr>
          <w:rFonts w:ascii="Times New Roman" w:hAnsi="Times New Roman"/>
          <w:b w:val="0"/>
          <w:i w:val="0"/>
          <w:caps w:val="0"/>
          <w:sz w:val="22"/>
        </w:rPr>
        <w:t>This model addresses the core privacy objection to health data sharing: the data never moves. The National Academies case study noted that the enclave used a "bin size of 10" standard for de-identification -- any output from the enclave must be attributable to at least 10 individuals, preventing re-identification of individuals from aggregate results. (National Academies of Sciences, 2023)</w:t>
      </w:r>
    </w:p>
    <w:p>
      <w:pPr>
        <w:spacing w:before="280" w:after="80"/>
        <w:jc w:val="left"/>
      </w:pPr>
      <w:r>
        <w:rPr>
          <w:rFonts w:ascii="Times New Roman" w:hAnsi="Times New Roman"/>
          <w:b/>
          <w:i w:val="0"/>
          <w:caps w:val="0"/>
          <w:color w:val="333333"/>
          <w:sz w:val="18"/>
        </w:rPr>
        <w:t>GOVERNANCE LAYERS OVER THE ENCLAVE</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Technical safeguards are reinforced by institutional governance at multiple levels:</w:t>
      </w:r>
    </w:p>
    <w:p>
      <w:pPr>
        <w:pStyle w:val="ListNumber"/>
        <w:spacing w:before="20" w:after="20"/>
        <w:jc w:val="left"/>
      </w:pPr>
      <w:r>
        <w:rPr>
          <w:rFonts w:ascii="Times New Roman" w:hAnsi="Times New Roman"/>
          <w:b/>
          <w:i w:val="0"/>
          <w:caps w:val="0"/>
          <w:sz w:val="21"/>
        </w:rPr>
        <w:t>"One Table" multi-stakeholder task force</w:t>
      </w:r>
      <w:r>
        <w:rPr>
          <w:rFonts w:ascii="Times New Roman" w:hAnsi="Times New Roman"/>
          <w:b w:val="0"/>
          <w:i w:val="0"/>
          <w:caps w:val="0"/>
          <w:sz w:val="21"/>
        </w:rPr>
        <w:t xml:space="preserve"> -- operational access review; reviews all developer requests to enter the enclave</w:t>
      </w:r>
    </w:p>
    <w:p>
      <w:pPr>
        <w:pStyle w:val="ListNumber"/>
        <w:spacing w:before="20" w:after="20"/>
        <w:jc w:val="left"/>
      </w:pPr>
      <w:r>
        <w:rPr>
          <w:rFonts w:ascii="Times New Roman" w:hAnsi="Times New Roman"/>
          <w:b/>
          <w:i w:val="0"/>
          <w:caps w:val="0"/>
          <w:sz w:val="21"/>
        </w:rPr>
        <w:t>Health Data and Technology Advisory (DaTA) Board</w:t>
      </w:r>
      <w:r>
        <w:rPr>
          <w:rFonts w:ascii="Times New Roman" w:hAnsi="Times New Roman"/>
          <w:b w:val="0"/>
          <w:i w:val="0"/>
          <w:caps w:val="0"/>
          <w:sz w:val="21"/>
        </w:rPr>
        <w:t xml:space="preserve"> -- community oversight; 11 members representing patients, clinicians, technologists, and ethicists; established 2021</w:t>
      </w:r>
    </w:p>
    <w:p>
      <w:pPr>
        <w:pStyle w:val="ListNumber"/>
        <w:spacing w:before="20" w:after="20"/>
        <w:jc w:val="left"/>
      </w:pPr>
      <w:r>
        <w:rPr>
          <w:rFonts w:ascii="Times New Roman" w:hAnsi="Times New Roman"/>
          <w:b/>
          <w:i w:val="0"/>
          <w:caps w:val="0"/>
          <w:sz w:val="21"/>
        </w:rPr>
        <w:t>Mayo Clinic institutional and legal review</w:t>
      </w:r>
      <w:r>
        <w:rPr>
          <w:rFonts w:ascii="Times New Roman" w:hAnsi="Times New Roman"/>
          <w:b w:val="0"/>
          <w:i w:val="0"/>
          <w:caps w:val="0"/>
          <w:sz w:val="21"/>
        </w:rPr>
        <w:t xml:space="preserve"> -- IRB-style oversight for any research application</w:t>
      </w:r>
    </w:p>
    <w:p>
      <w:pPr>
        <w:pStyle w:val="ListNumber"/>
        <w:spacing w:before="20" w:after="20"/>
        <w:jc w:val="left"/>
      </w:pPr>
      <w:r>
        <w:rPr>
          <w:rFonts w:ascii="Times New Roman" w:hAnsi="Times New Roman"/>
          <w:b/>
          <w:i w:val="0"/>
          <w:caps w:val="0"/>
          <w:sz w:val="21"/>
        </w:rPr>
        <w:t>Joint steering committee for the Mayo-Google partnership</w:t>
      </w:r>
      <w:r>
        <w:rPr>
          <w:rFonts w:ascii="Times New Roman" w:hAnsi="Times New Roman"/>
          <w:b w:val="0"/>
          <w:i w:val="0"/>
          <w:caps w:val="0"/>
          <w:sz w:val="21"/>
        </w:rPr>
        <w:t xml:space="preserve"> -- bilateral governance specific to the Google Cloud relationship</w:t>
      </w:r>
    </w:p>
    <w:p>
      <w:pPr>
        <w:spacing w:before="0" w:after="100"/>
        <w:ind w:firstLine="0"/>
        <w:jc w:val="both"/>
      </w:pPr>
      <w:r>
        <w:rPr>
          <w:rFonts w:ascii="Times New Roman" w:hAnsi="Times New Roman"/>
          <w:b w:val="0"/>
          <w:i w:val="0"/>
          <w:caps w:val="0"/>
          <w:sz w:val="22"/>
        </w:rPr>
        <w:t>The layered governance model reflects deliberate redundancy: no single layer is expected to catch all problems. However, as the platform scaled to 81 solution developers and 9 institutional partners, the governance overhead of applying all four layers to each interaction became a non-trivial operational challenge. This is the "governance scaling problem" that the case surfaces in its closing section.</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PART 4: REGULATORY ENVIRONMENT</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FDA SAMD REGULATION</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AI/ML-based clinical tools in the United States are regulated by the FDA as Software as a Medical Device (SaMD). Key regulatory frameworks relevant to Mayo Clinic Platform:</w:t>
      </w:r>
    </w:p>
    <w:p>
      <w:pPr>
        <w:spacing w:before="0" w:after="100"/>
        <w:ind w:firstLine="0"/>
        <w:jc w:val="both"/>
      </w:pPr>
      <w:r>
        <w:rPr>
          <w:rFonts w:ascii="Times New Roman" w:hAnsi="Times New Roman"/>
          <w:b/>
          <w:i w:val="0"/>
          <w:caps w:val="0"/>
          <w:sz w:val="22"/>
        </w:rPr>
        <w:t>FDA Predetermined Change Control Plans (2021):</w:t>
      </w:r>
      <w:r>
        <w:rPr>
          <w:rFonts w:ascii="Times New Roman" w:hAnsi="Times New Roman"/>
          <w:b w:val="0"/>
          <w:i w:val="0"/>
          <w:caps w:val="0"/>
          <w:sz w:val="22"/>
        </w:rPr>
        <w:t xml:space="preserve"> Allow AI developers to pre-specify the types of algorithm updates that can be made without submitting a new 510(k) or PMA, reducing the regulatory burden on adaptive AI systems.</w:t>
      </w:r>
    </w:p>
    <w:p>
      <w:pPr>
        <w:spacing w:before="0" w:after="100"/>
        <w:ind w:firstLine="0"/>
        <w:jc w:val="both"/>
      </w:pPr>
      <w:r>
        <w:rPr>
          <w:rFonts w:ascii="Times New Roman" w:hAnsi="Times New Roman"/>
          <w:b/>
          <w:i w:val="0"/>
          <w:caps w:val="0"/>
          <w:sz w:val="22"/>
        </w:rPr>
        <w:t>De Novo pathway:</w:t>
      </w:r>
      <w:r>
        <w:rPr>
          <w:rFonts w:ascii="Times New Roman" w:hAnsi="Times New Roman"/>
          <w:b w:val="0"/>
          <w:i w:val="0"/>
          <w:caps w:val="0"/>
          <w:sz w:val="22"/>
        </w:rPr>
        <w:t xml:space="preserve"> Used for novel AI diagnostic tools with no predicate device. ELEFT (the Eko Low Ejection Fraction Tool, co-developed by Mayo and Eko Health) received FDA clearance through this pathway in March 2024.</w:t>
      </w:r>
    </w:p>
    <w:p>
      <w:pPr>
        <w:spacing w:before="0" w:after="100"/>
        <w:ind w:firstLine="0"/>
        <w:jc w:val="both"/>
      </w:pPr>
      <w:r>
        <w:rPr>
          <w:rFonts w:ascii="Times New Roman" w:hAnsi="Times New Roman"/>
          <w:b/>
          <w:i w:val="0"/>
          <w:caps w:val="0"/>
          <w:sz w:val="22"/>
        </w:rPr>
        <w:t>Real-World Performance Monitoring:</w:t>
      </w:r>
      <w:r>
        <w:rPr>
          <w:rFonts w:ascii="Times New Roman" w:hAnsi="Times New Roman"/>
          <w:b w:val="0"/>
          <w:i w:val="0"/>
          <w:caps w:val="0"/>
          <w:sz w:val="22"/>
        </w:rPr>
        <w:t xml:space="preserve"> FDA increasingly requires AI/ML devices to include post-market performance monitoring plans -- a requirement that favors platforms with ongoing access to real-world clinical data, such as Mayo Clinic Platform.</w:t>
      </w:r>
    </w:p>
    <w:p>
      <w:pPr>
        <w:spacing w:before="280" w:after="80"/>
        <w:jc w:val="left"/>
      </w:pPr>
      <w:r>
        <w:rPr>
          <w:rFonts w:ascii="Times New Roman" w:hAnsi="Times New Roman"/>
          <w:b/>
          <w:i w:val="0"/>
          <w:caps w:val="0"/>
          <w:color w:val="333333"/>
          <w:sz w:val="18"/>
        </w:rPr>
        <w:t>INTERNATIONAL REGULATORY COMPLEXITY</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The distributed data network's expansion to Brazil, Israel, and Canada introduced a multi-jurisdictional regulatory environment. The federated model was specifically designed to navigate this complexity by keeping data local: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pPr>
            <w:r/>
            <w:r>
              <w:rPr>
                <w:rFonts w:ascii="Times New Roman" w:hAnsi="Times New Roman"/>
                <w:b/>
                <w:i w:val="0"/>
                <w:caps w:val="0"/>
                <w:sz w:val="18"/>
              </w:rPr>
              <w:t>Jurisdiction</w:t>
            </w:r>
          </w:p>
        </w:tc>
        <w:tc>
          <w:tcPr>
            <w:tcW w:type="dxa" w:w="2160"/>
          </w:tcPr>
          <w:p>
            <w:pPr>
              <w:spacing w:before="40" w:after="40"/>
            </w:pPr>
            <w:r/>
            <w:r>
              <w:rPr>
                <w:rFonts w:ascii="Times New Roman" w:hAnsi="Times New Roman"/>
                <w:b/>
                <w:i w:val="0"/>
                <w:caps w:val="0"/>
                <w:sz w:val="18"/>
              </w:rPr>
              <w:t>Primary Law</w:t>
            </w:r>
          </w:p>
        </w:tc>
        <w:tc>
          <w:tcPr>
            <w:tcW w:type="dxa" w:w="2160"/>
          </w:tcPr>
          <w:p>
            <w:pPr>
              <w:spacing w:before="40" w:after="40"/>
            </w:pPr>
            <w:r/>
            <w:r>
              <w:rPr>
                <w:rFonts w:ascii="Times New Roman" w:hAnsi="Times New Roman"/>
                <w:b/>
                <w:i w:val="0"/>
                <w:caps w:val="0"/>
                <w:sz w:val="18"/>
              </w:rPr>
              <w:t>Key Provision</w:t>
            </w:r>
          </w:p>
        </w:tc>
        <w:tc>
          <w:tcPr>
            <w:tcW w:type="dxa" w:w="2160"/>
          </w:tcPr>
          <w:p>
            <w:pPr>
              <w:spacing w:before="40" w:after="40"/>
            </w:pPr>
            <w:r/>
            <w:r>
              <w:rPr>
                <w:rFonts w:ascii="Times New Roman" w:hAnsi="Times New Roman"/>
                <w:b/>
                <w:i w:val="0"/>
                <w:caps w:val="0"/>
                <w:sz w:val="18"/>
              </w:rPr>
              <w:t>Compatibility with Federated Model</w:t>
            </w:r>
          </w:p>
        </w:tc>
      </w:tr>
      <w:tr>
        <w:tc>
          <w:tcPr>
            <w:tcW w:type="dxa" w:w="2160"/>
          </w:tcPr>
          <w:p>
            <w:pPr>
              <w:spacing w:before="40" w:after="40"/>
            </w:pPr>
            <w:r/>
            <w:r>
              <w:rPr>
                <w:rFonts w:ascii="Times New Roman" w:hAnsi="Times New Roman"/>
                <w:b w:val="0"/>
                <w:i w:val="0"/>
                <w:caps w:val="0"/>
                <w:sz w:val="18"/>
              </w:rPr>
              <w:t>United States</w:t>
            </w:r>
          </w:p>
        </w:tc>
        <w:tc>
          <w:tcPr>
            <w:tcW w:type="dxa" w:w="2160"/>
          </w:tcPr>
          <w:p>
            <w:pPr>
              <w:spacing w:before="40" w:after="40"/>
            </w:pPr>
            <w:r/>
            <w:r>
              <w:rPr>
                <w:rFonts w:ascii="Times New Roman" w:hAnsi="Times New Roman"/>
                <w:b w:val="0"/>
                <w:i w:val="0"/>
                <w:caps w:val="0"/>
                <w:sz w:val="18"/>
              </w:rPr>
              <w:t>HIPAA (1996) + HITECH (2009)</w:t>
            </w:r>
          </w:p>
        </w:tc>
        <w:tc>
          <w:tcPr>
            <w:tcW w:type="dxa" w:w="2160"/>
          </w:tcPr>
          <w:p>
            <w:pPr>
              <w:spacing w:before="40" w:after="40"/>
            </w:pPr>
            <w:r/>
            <w:r>
              <w:rPr>
                <w:rFonts w:ascii="Times New Roman" w:hAnsi="Times New Roman"/>
                <w:b w:val="0"/>
                <w:i w:val="0"/>
                <w:caps w:val="0"/>
                <w:sz w:val="18"/>
              </w:rPr>
              <w:t>Expert Determination de-identification; data use agreements</w:t>
            </w:r>
          </w:p>
        </w:tc>
        <w:tc>
          <w:tcPr>
            <w:tcW w:type="dxa" w:w="2160"/>
          </w:tcPr>
          <w:p>
            <w:pPr>
              <w:spacing w:before="40" w:after="40"/>
            </w:pPr>
            <w:r/>
            <w:r>
              <w:rPr>
                <w:rFonts w:ascii="Times New Roman" w:hAnsi="Times New Roman"/>
                <w:b w:val="0"/>
                <w:i w:val="0"/>
                <w:caps w:val="0"/>
                <w:sz w:val="18"/>
              </w:rPr>
              <w:t>High -- federated model designed to HIPAA standards</w:t>
            </w:r>
          </w:p>
        </w:tc>
      </w:tr>
      <w:tr>
        <w:tc>
          <w:tcPr>
            <w:tcW w:type="dxa" w:w="2160"/>
          </w:tcPr>
          <w:p>
            <w:pPr>
              <w:spacing w:before="40" w:after="40"/>
            </w:pPr>
            <w:r/>
            <w:r>
              <w:rPr>
                <w:rFonts w:ascii="Times New Roman" w:hAnsi="Times New Roman"/>
                <w:b w:val="0"/>
                <w:i w:val="0"/>
                <w:caps w:val="0"/>
                <w:sz w:val="18"/>
              </w:rPr>
              <w:t>Brazil</w:t>
            </w:r>
          </w:p>
        </w:tc>
        <w:tc>
          <w:tcPr>
            <w:tcW w:type="dxa" w:w="2160"/>
          </w:tcPr>
          <w:p>
            <w:pPr>
              <w:spacing w:before="40" w:after="40"/>
            </w:pPr>
            <w:r/>
            <w:r>
              <w:rPr>
                <w:rFonts w:ascii="Times New Roman" w:hAnsi="Times New Roman"/>
                <w:b w:val="0"/>
                <w:i w:val="0"/>
                <w:caps w:val="0"/>
                <w:sz w:val="18"/>
              </w:rPr>
              <w:t>LGPD (2020)</w:t>
            </w:r>
          </w:p>
        </w:tc>
        <w:tc>
          <w:tcPr>
            <w:tcW w:type="dxa" w:w="2160"/>
          </w:tcPr>
          <w:p>
            <w:pPr>
              <w:spacing w:before="40" w:after="40"/>
            </w:pPr>
            <w:r/>
            <w:r>
              <w:rPr>
                <w:rFonts w:ascii="Times New Roman" w:hAnsi="Times New Roman"/>
                <w:b w:val="0"/>
                <w:i w:val="0"/>
                <w:caps w:val="0"/>
                <w:sz w:val="18"/>
              </w:rPr>
              <w:t>Consent requirements; data localization</w:t>
            </w:r>
          </w:p>
        </w:tc>
        <w:tc>
          <w:tcPr>
            <w:tcW w:type="dxa" w:w="2160"/>
          </w:tcPr>
          <w:p>
            <w:pPr>
              <w:spacing w:before="40" w:after="40"/>
            </w:pPr>
            <w:r/>
            <w:r>
              <w:rPr>
                <w:rFonts w:ascii="Times New Roman" w:hAnsi="Times New Roman"/>
                <w:b w:val="0"/>
                <w:i w:val="0"/>
                <w:caps w:val="0"/>
                <w:sz w:val="18"/>
              </w:rPr>
              <w:t>High -- federated model keeps data in Brazil</w:t>
            </w:r>
          </w:p>
        </w:tc>
      </w:tr>
      <w:tr>
        <w:tc>
          <w:tcPr>
            <w:tcW w:type="dxa" w:w="2160"/>
          </w:tcPr>
          <w:p>
            <w:pPr>
              <w:spacing w:before="40" w:after="40"/>
            </w:pPr>
            <w:r/>
            <w:r>
              <w:rPr>
                <w:rFonts w:ascii="Times New Roman" w:hAnsi="Times New Roman"/>
                <w:b w:val="0"/>
                <w:i w:val="0"/>
                <w:caps w:val="0"/>
                <w:sz w:val="18"/>
              </w:rPr>
              <w:t>Israel</w:t>
            </w:r>
          </w:p>
        </w:tc>
        <w:tc>
          <w:tcPr>
            <w:tcW w:type="dxa" w:w="2160"/>
          </w:tcPr>
          <w:p>
            <w:pPr>
              <w:spacing w:before="40" w:after="40"/>
            </w:pPr>
            <w:r/>
            <w:r>
              <w:rPr>
                <w:rFonts w:ascii="Times New Roman" w:hAnsi="Times New Roman"/>
                <w:b w:val="0"/>
                <w:i w:val="0"/>
                <w:caps w:val="0"/>
                <w:sz w:val="18"/>
              </w:rPr>
              <w:t>Protection of Privacy Law (1981)</w:t>
            </w:r>
          </w:p>
        </w:tc>
        <w:tc>
          <w:tcPr>
            <w:tcW w:type="dxa" w:w="2160"/>
          </w:tcPr>
          <w:p>
            <w:pPr>
              <w:spacing w:before="40" w:after="40"/>
            </w:pPr>
            <w:r/>
            <w:r>
              <w:rPr>
                <w:rFonts w:ascii="Times New Roman" w:hAnsi="Times New Roman"/>
                <w:b w:val="0"/>
                <w:i w:val="0"/>
                <w:caps w:val="0"/>
                <w:sz w:val="18"/>
              </w:rPr>
              <w:t>Heightened controls for sensitive health data</w:t>
            </w:r>
          </w:p>
        </w:tc>
        <w:tc>
          <w:tcPr>
            <w:tcW w:type="dxa" w:w="2160"/>
          </w:tcPr>
          <w:p>
            <w:pPr>
              <w:spacing w:before="40" w:after="40"/>
            </w:pPr>
            <w:r/>
            <w:r>
              <w:rPr>
                <w:rFonts w:ascii="Times New Roman" w:hAnsi="Times New Roman"/>
                <w:b w:val="0"/>
                <w:i w:val="0"/>
                <w:caps w:val="0"/>
                <w:sz w:val="18"/>
              </w:rPr>
              <w:t>Medium-High -- local governance review required</w:t>
            </w:r>
          </w:p>
        </w:tc>
      </w:tr>
      <w:tr>
        <w:tc>
          <w:tcPr>
            <w:tcW w:type="dxa" w:w="2160"/>
          </w:tcPr>
          <w:p>
            <w:pPr>
              <w:spacing w:before="40" w:after="40"/>
            </w:pPr>
            <w:r/>
            <w:r>
              <w:rPr>
                <w:rFonts w:ascii="Times New Roman" w:hAnsi="Times New Roman"/>
                <w:b w:val="0"/>
                <w:i w:val="0"/>
                <w:caps w:val="0"/>
                <w:sz w:val="18"/>
              </w:rPr>
              <w:t>Canada</w:t>
            </w:r>
          </w:p>
        </w:tc>
        <w:tc>
          <w:tcPr>
            <w:tcW w:type="dxa" w:w="2160"/>
          </w:tcPr>
          <w:p>
            <w:pPr>
              <w:spacing w:before="40" w:after="40"/>
            </w:pPr>
            <w:r/>
            <w:r>
              <w:rPr>
                <w:rFonts w:ascii="Times New Roman" w:hAnsi="Times New Roman"/>
                <w:b w:val="0"/>
                <w:i w:val="0"/>
                <w:caps w:val="0"/>
                <w:sz w:val="18"/>
              </w:rPr>
              <w:t>PIPEDA (federal) + provincial laws</w:t>
            </w:r>
          </w:p>
        </w:tc>
        <w:tc>
          <w:tcPr>
            <w:tcW w:type="dxa" w:w="2160"/>
          </w:tcPr>
          <w:p>
            <w:pPr>
              <w:spacing w:before="40" w:after="40"/>
            </w:pPr>
            <w:r/>
            <w:r>
              <w:rPr>
                <w:rFonts w:ascii="Times New Roman" w:hAnsi="Times New Roman"/>
                <w:b w:val="0"/>
                <w:i w:val="0"/>
                <w:caps w:val="0"/>
                <w:sz w:val="18"/>
              </w:rPr>
              <w:t>Purpose limitation; accountability principles</w:t>
            </w:r>
          </w:p>
        </w:tc>
        <w:tc>
          <w:tcPr>
            <w:tcW w:type="dxa" w:w="2160"/>
          </w:tcPr>
          <w:p>
            <w:pPr>
              <w:spacing w:before="40" w:after="40"/>
            </w:pPr>
            <w:r/>
            <w:r>
              <w:rPr>
                <w:rFonts w:ascii="Times New Roman" w:hAnsi="Times New Roman"/>
                <w:b w:val="0"/>
                <w:i w:val="0"/>
                <w:caps w:val="0"/>
                <w:sz w:val="18"/>
              </w:rPr>
              <w:t>High -- data remains within Canadian institutions</w:t>
            </w:r>
          </w:p>
        </w:tc>
      </w:tr>
      <w:tr>
        <w:tc>
          <w:tcPr>
            <w:tcW w:type="dxa" w:w="2160"/>
          </w:tcPr>
          <w:p>
            <w:pPr>
              <w:spacing w:before="40" w:after="40"/>
            </w:pPr>
            <w:r/>
            <w:r>
              <w:rPr>
                <w:rFonts w:ascii="Times New Roman" w:hAnsi="Times New Roman"/>
                <w:b w:val="0"/>
                <w:i w:val="0"/>
                <w:caps w:val="0"/>
                <w:sz w:val="18"/>
              </w:rPr>
              <w:t>European Union</w:t>
            </w:r>
          </w:p>
        </w:tc>
        <w:tc>
          <w:tcPr>
            <w:tcW w:type="dxa" w:w="2160"/>
          </w:tcPr>
          <w:p>
            <w:pPr>
              <w:spacing w:before="40" w:after="40"/>
            </w:pPr>
            <w:r/>
            <w:r>
              <w:rPr>
                <w:rFonts w:ascii="Times New Roman" w:hAnsi="Times New Roman"/>
                <w:b w:val="0"/>
                <w:i w:val="0"/>
                <w:caps w:val="0"/>
                <w:sz w:val="18"/>
              </w:rPr>
              <w:t>GDPR (2018) + AI Act (proposed)</w:t>
            </w:r>
          </w:p>
        </w:tc>
        <w:tc>
          <w:tcPr>
            <w:tcW w:type="dxa" w:w="2160"/>
          </w:tcPr>
          <w:p>
            <w:pPr>
              <w:spacing w:before="40" w:after="40"/>
            </w:pPr>
            <w:r/>
            <w:r>
              <w:rPr>
                <w:rFonts w:ascii="Times New Roman" w:hAnsi="Times New Roman"/>
                <w:b w:val="0"/>
                <w:i w:val="0"/>
                <w:caps w:val="0"/>
                <w:sz w:val="18"/>
              </w:rPr>
              <w:t>Right to explanation; high-risk AI obligations</w:t>
            </w:r>
          </w:p>
        </w:tc>
        <w:tc>
          <w:tcPr>
            <w:tcW w:type="dxa" w:w="2160"/>
          </w:tcPr>
          <w:p>
            <w:pPr>
              <w:spacing w:before="40" w:after="40"/>
            </w:pPr>
            <w:r/>
            <w:r>
              <w:rPr>
                <w:rFonts w:ascii="Times New Roman" w:hAnsi="Times New Roman"/>
                <w:b w:val="0"/>
                <w:i w:val="0"/>
                <w:caps w:val="0"/>
                <w:sz w:val="18"/>
              </w:rPr>
              <w:t>Medium -- additional documentation required; not yet in Mayo network</w:t>
            </w:r>
          </w:p>
        </w:tc>
      </w:tr>
    </w:tbl>
    <w:p>
      <w:pPr>
        <w:spacing w:after="80"/>
      </w:pPr>
    </w:p>
    <w:p>
      <w:pPr>
        <w:spacing w:before="0" w:after="100"/>
        <w:ind w:firstLine="0"/>
        <w:jc w:val="both"/>
      </w:pPr>
      <w:r>
        <w:rPr>
          <w:rFonts w:ascii="Times New Roman" w:hAnsi="Times New Roman"/>
          <w:b/>
          <w:i w:val="0"/>
          <w:caps w:val="0"/>
          <w:sz w:val="22"/>
        </w:rPr>
        <w:t>Key insight</w:t>
      </w:r>
      <w:r>
        <w:rPr>
          <w:rFonts w:ascii="Times New Roman" w:hAnsi="Times New Roman"/>
          <w:b w:val="0"/>
          <w:i w:val="0"/>
          <w:caps w:val="0"/>
          <w:sz w:val="22"/>
        </w:rPr>
        <w:t>: The federated model's primary advantage in the international context is that it sidesteps data localization requirements. Because patient data never leaves the home institution's jurisdiction, each country's data sovereignty laws are satisfied by design -- not by legal workaround. This makes geographic expansion considerably easier than it would be for a centralized model that must negotiate separate cross-border data transfer agreements in each jurisdiction.</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PART 5: COMPETITIVE ANALYSIS</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THE LANDSCAPE OF HEALTH AI PLATFORMS (2023-2024)</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40" w:after="40"/>
            </w:pPr>
            <w:r/>
            <w:r>
              <w:rPr>
                <w:rFonts w:ascii="Times New Roman" w:hAnsi="Times New Roman"/>
                <w:b/>
                <w:i w:val="0"/>
                <w:caps w:val="0"/>
                <w:sz w:val="18"/>
              </w:rPr>
              <w:t>Company</w:t>
            </w:r>
          </w:p>
        </w:tc>
        <w:tc>
          <w:tcPr>
            <w:tcW w:type="dxa" w:w="1728"/>
          </w:tcPr>
          <w:p>
            <w:pPr>
              <w:spacing w:before="40" w:after="40"/>
            </w:pPr>
            <w:r/>
            <w:r>
              <w:rPr>
                <w:rFonts w:ascii="Times New Roman" w:hAnsi="Times New Roman"/>
                <w:b/>
                <w:i w:val="0"/>
                <w:caps w:val="0"/>
                <w:sz w:val="18"/>
              </w:rPr>
              <w:t>Data Strategy</w:t>
            </w:r>
          </w:p>
        </w:tc>
        <w:tc>
          <w:tcPr>
            <w:tcW w:type="dxa" w:w="1728"/>
          </w:tcPr>
          <w:p>
            <w:pPr>
              <w:spacing w:before="40" w:after="40"/>
            </w:pPr>
            <w:r/>
            <w:r>
              <w:rPr>
                <w:rFonts w:ascii="Times New Roman" w:hAnsi="Times New Roman"/>
                <w:b/>
                <w:i w:val="0"/>
                <w:caps w:val="0"/>
                <w:sz w:val="18"/>
              </w:rPr>
              <w:t>AI Approach</w:t>
            </w:r>
          </w:p>
        </w:tc>
        <w:tc>
          <w:tcPr>
            <w:tcW w:type="dxa" w:w="1728"/>
          </w:tcPr>
          <w:p>
            <w:pPr>
              <w:spacing w:before="40" w:after="40"/>
            </w:pPr>
            <w:r/>
            <w:r>
              <w:rPr>
                <w:rFonts w:ascii="Times New Roman" w:hAnsi="Times New Roman"/>
                <w:b/>
                <w:i w:val="0"/>
                <w:caps w:val="0"/>
                <w:sz w:val="18"/>
              </w:rPr>
              <w:t>Scale</w:t>
            </w:r>
          </w:p>
        </w:tc>
        <w:tc>
          <w:tcPr>
            <w:tcW w:type="dxa" w:w="1728"/>
          </w:tcPr>
          <w:p>
            <w:pPr>
              <w:spacing w:before="40" w:after="40"/>
            </w:pPr>
            <w:r/>
            <w:r>
              <w:rPr>
                <w:rFonts w:ascii="Times New Roman" w:hAnsi="Times New Roman"/>
                <w:b/>
                <w:i w:val="0"/>
                <w:caps w:val="0"/>
                <w:sz w:val="18"/>
              </w:rPr>
              <w:t>Key Risk</w:t>
            </w:r>
          </w:p>
        </w:tc>
      </w:tr>
      <w:tr>
        <w:tc>
          <w:tcPr>
            <w:tcW w:type="dxa" w:w="1728"/>
          </w:tcPr>
          <w:p>
            <w:pPr>
              <w:spacing w:before="40" w:after="40"/>
            </w:pPr>
            <w:r/>
            <w:r>
              <w:rPr>
                <w:rFonts w:ascii="Times New Roman" w:hAnsi="Times New Roman"/>
                <w:b w:val="0"/>
                <w:i w:val="0"/>
                <w:caps w:val="0"/>
                <w:sz w:val="18"/>
              </w:rPr>
              <w:t>Mayo Clinic Platform</w:t>
            </w:r>
          </w:p>
        </w:tc>
        <w:tc>
          <w:tcPr>
            <w:tcW w:type="dxa" w:w="1728"/>
          </w:tcPr>
          <w:p>
            <w:pPr>
              <w:spacing w:before="40" w:after="40"/>
            </w:pPr>
            <w:r/>
            <w:r>
              <w:rPr>
                <w:rFonts w:ascii="Times New Roman" w:hAnsi="Times New Roman"/>
                <w:b w:val="0"/>
                <w:i w:val="0"/>
                <w:caps w:val="0"/>
                <w:sz w:val="18"/>
              </w:rPr>
              <w:t>Federated enclave; institutional partners</w:t>
            </w:r>
          </w:p>
        </w:tc>
        <w:tc>
          <w:tcPr>
            <w:tcW w:type="dxa" w:w="1728"/>
          </w:tcPr>
          <w:p>
            <w:pPr>
              <w:spacing w:before="40" w:after="40"/>
            </w:pPr>
            <w:r/>
            <w:r>
              <w:rPr>
                <w:rFonts w:ascii="Times New Roman" w:hAnsi="Times New Roman"/>
                <w:b w:val="0"/>
                <w:i w:val="0"/>
                <w:caps w:val="0"/>
                <w:sz w:val="18"/>
              </w:rPr>
              <w:t>Validation + foundation model development</w:t>
            </w:r>
          </w:p>
        </w:tc>
        <w:tc>
          <w:tcPr>
            <w:tcW w:type="dxa" w:w="1728"/>
          </w:tcPr>
          <w:p>
            <w:pPr>
              <w:spacing w:before="40" w:after="40"/>
            </w:pPr>
            <w:r/>
            <w:r>
              <w:rPr>
                <w:rFonts w:ascii="Times New Roman" w:hAnsi="Times New Roman"/>
                <w:b w:val="0"/>
                <w:i w:val="0"/>
                <w:caps w:val="0"/>
                <w:sz w:val="18"/>
              </w:rPr>
              <w:t>56M patient lives (2024)</w:t>
            </w:r>
          </w:p>
        </w:tc>
        <w:tc>
          <w:tcPr>
            <w:tcW w:type="dxa" w:w="1728"/>
          </w:tcPr>
          <w:p>
            <w:pPr>
              <w:spacing w:before="40" w:after="40"/>
            </w:pPr>
            <w:r/>
            <w:r>
              <w:rPr>
                <w:rFonts w:ascii="Times New Roman" w:hAnsi="Times New Roman"/>
                <w:b w:val="0"/>
                <w:i w:val="0"/>
                <w:caps w:val="0"/>
                <w:sz w:val="18"/>
              </w:rPr>
              <w:t>Governance complexity at scale</w:t>
            </w:r>
          </w:p>
        </w:tc>
      </w:tr>
      <w:tr>
        <w:tc>
          <w:tcPr>
            <w:tcW w:type="dxa" w:w="1728"/>
          </w:tcPr>
          <w:p>
            <w:pPr>
              <w:spacing w:before="40" w:after="40"/>
            </w:pPr>
            <w:r/>
            <w:r>
              <w:rPr>
                <w:rFonts w:ascii="Times New Roman" w:hAnsi="Times New Roman"/>
                <w:b w:val="0"/>
                <w:i w:val="0"/>
                <w:caps w:val="0"/>
                <w:sz w:val="18"/>
              </w:rPr>
              <w:t>Epic Systems</w:t>
            </w:r>
          </w:p>
        </w:tc>
        <w:tc>
          <w:tcPr>
            <w:tcW w:type="dxa" w:w="1728"/>
          </w:tcPr>
          <w:p>
            <w:pPr>
              <w:spacing w:before="40" w:after="40"/>
            </w:pPr>
            <w:r/>
            <w:r>
              <w:rPr>
                <w:rFonts w:ascii="Times New Roman" w:hAnsi="Times New Roman"/>
                <w:b w:val="0"/>
                <w:i w:val="0"/>
                <w:caps w:val="0"/>
                <w:sz w:val="18"/>
              </w:rPr>
              <w:t>Proprietary EHR ecosystem; App Orchard</w:t>
            </w:r>
          </w:p>
        </w:tc>
        <w:tc>
          <w:tcPr>
            <w:tcW w:type="dxa" w:w="1728"/>
          </w:tcPr>
          <w:p>
            <w:pPr>
              <w:spacing w:before="40" w:after="40"/>
            </w:pPr>
            <w:r/>
            <w:r>
              <w:rPr>
                <w:rFonts w:ascii="Times New Roman" w:hAnsi="Times New Roman"/>
                <w:b w:val="0"/>
                <w:i w:val="0"/>
                <w:caps w:val="0"/>
                <w:sz w:val="18"/>
              </w:rPr>
              <w:t>EHR-native predictive models</w:t>
            </w:r>
          </w:p>
        </w:tc>
        <w:tc>
          <w:tcPr>
            <w:tcW w:type="dxa" w:w="1728"/>
          </w:tcPr>
          <w:p>
            <w:pPr>
              <w:spacing w:before="40" w:after="40"/>
            </w:pPr>
            <w:r/>
            <w:r>
              <w:rPr>
                <w:rFonts w:ascii="Times New Roman" w:hAnsi="Times New Roman"/>
                <w:b w:val="0"/>
                <w:i w:val="0"/>
                <w:caps w:val="0"/>
                <w:sz w:val="18"/>
              </w:rPr>
              <w:t>250M+ patient records</w:t>
            </w:r>
          </w:p>
        </w:tc>
        <w:tc>
          <w:tcPr>
            <w:tcW w:type="dxa" w:w="1728"/>
          </w:tcPr>
          <w:p>
            <w:pPr>
              <w:spacing w:before="40" w:after="40"/>
            </w:pPr>
            <w:r/>
            <w:r>
              <w:rPr>
                <w:rFonts w:ascii="Times New Roman" w:hAnsi="Times New Roman"/>
                <w:b w:val="0"/>
                <w:i w:val="0"/>
                <w:caps w:val="0"/>
                <w:sz w:val="18"/>
              </w:rPr>
              <w:t>Closed ecosystem limits external innovation</w:t>
            </w:r>
          </w:p>
        </w:tc>
      </w:tr>
      <w:tr>
        <w:tc>
          <w:tcPr>
            <w:tcW w:type="dxa" w:w="1728"/>
          </w:tcPr>
          <w:p>
            <w:pPr>
              <w:spacing w:before="40" w:after="40"/>
            </w:pPr>
            <w:r/>
            <w:r>
              <w:rPr>
                <w:rFonts w:ascii="Times New Roman" w:hAnsi="Times New Roman"/>
                <w:b w:val="0"/>
                <w:i w:val="0"/>
                <w:caps w:val="0"/>
                <w:sz w:val="18"/>
              </w:rPr>
              <w:t>Google Health</w:t>
            </w:r>
          </w:p>
        </w:tc>
        <w:tc>
          <w:tcPr>
            <w:tcW w:type="dxa" w:w="1728"/>
          </w:tcPr>
          <w:p>
            <w:pPr>
              <w:spacing w:before="40" w:after="40"/>
            </w:pPr>
            <w:r/>
            <w:r>
              <w:rPr>
                <w:rFonts w:ascii="Times New Roman" w:hAnsi="Times New Roman"/>
                <w:b w:val="0"/>
                <w:i w:val="0"/>
                <w:caps w:val="0"/>
                <w:sz w:val="18"/>
              </w:rPr>
              <w:t>Cloud-native; consumer data integration</w:t>
            </w:r>
          </w:p>
        </w:tc>
        <w:tc>
          <w:tcPr>
            <w:tcW w:type="dxa" w:w="1728"/>
          </w:tcPr>
          <w:p>
            <w:pPr>
              <w:spacing w:before="40" w:after="40"/>
            </w:pPr>
            <w:r/>
            <w:r>
              <w:rPr>
                <w:rFonts w:ascii="Times New Roman" w:hAnsi="Times New Roman"/>
                <w:b w:val="0"/>
                <w:i w:val="0"/>
                <w:caps w:val="0"/>
                <w:sz w:val="18"/>
              </w:rPr>
              <w:t>Foundation models (Med-PaLM 2)</w:t>
            </w:r>
          </w:p>
        </w:tc>
        <w:tc>
          <w:tcPr>
            <w:tcW w:type="dxa" w:w="1728"/>
          </w:tcPr>
          <w:p>
            <w:pPr>
              <w:spacing w:before="40" w:after="40"/>
            </w:pPr>
            <w:r/>
            <w:r>
              <w:rPr>
                <w:rFonts w:ascii="Times New Roman" w:hAnsi="Times New Roman"/>
                <w:b w:val="0"/>
                <w:i w:val="0"/>
                <w:caps w:val="0"/>
                <w:sz w:val="18"/>
              </w:rPr>
              <w:t>Multiple large health systems</w:t>
            </w:r>
          </w:p>
        </w:tc>
        <w:tc>
          <w:tcPr>
            <w:tcW w:type="dxa" w:w="1728"/>
          </w:tcPr>
          <w:p>
            <w:pPr>
              <w:spacing w:before="40" w:after="40"/>
            </w:pPr>
            <w:r/>
            <w:r>
              <w:rPr>
                <w:rFonts w:ascii="Times New Roman" w:hAnsi="Times New Roman"/>
                <w:b w:val="0"/>
                <w:i w:val="0"/>
                <w:caps w:val="0"/>
                <w:sz w:val="18"/>
              </w:rPr>
              <w:t>Consumer trust; healthcare domain expertise</w:t>
            </w:r>
          </w:p>
        </w:tc>
      </w:tr>
      <w:tr>
        <w:tc>
          <w:tcPr>
            <w:tcW w:type="dxa" w:w="1728"/>
          </w:tcPr>
          <w:p>
            <w:pPr>
              <w:spacing w:before="40" w:after="40"/>
            </w:pPr>
            <w:r/>
            <w:r>
              <w:rPr>
                <w:rFonts w:ascii="Times New Roman" w:hAnsi="Times New Roman"/>
                <w:b w:val="0"/>
                <w:i w:val="0"/>
                <w:caps w:val="0"/>
                <w:sz w:val="18"/>
              </w:rPr>
              <w:t>Microsoft Azure Health</w:t>
            </w:r>
          </w:p>
        </w:tc>
        <w:tc>
          <w:tcPr>
            <w:tcW w:type="dxa" w:w="1728"/>
          </w:tcPr>
          <w:p>
            <w:pPr>
              <w:spacing w:before="40" w:after="40"/>
            </w:pPr>
            <w:r/>
            <w:r>
              <w:rPr>
                <w:rFonts w:ascii="Times New Roman" w:hAnsi="Times New Roman"/>
                <w:b w:val="0"/>
                <w:i w:val="0"/>
                <w:caps w:val="0"/>
                <w:sz w:val="18"/>
              </w:rPr>
              <w:t>Azure cloud; M365 Copilot</w:t>
            </w:r>
          </w:p>
        </w:tc>
        <w:tc>
          <w:tcPr>
            <w:tcW w:type="dxa" w:w="1728"/>
          </w:tcPr>
          <w:p>
            <w:pPr>
              <w:spacing w:before="40" w:after="40"/>
            </w:pPr>
            <w:r/>
            <w:r>
              <w:rPr>
                <w:rFonts w:ascii="Times New Roman" w:hAnsi="Times New Roman"/>
                <w:b w:val="0"/>
                <w:i w:val="0"/>
                <w:caps w:val="0"/>
                <w:sz w:val="18"/>
              </w:rPr>
              <w:t>LLM-powered productivity; OpenAI partnership</w:t>
            </w:r>
          </w:p>
        </w:tc>
        <w:tc>
          <w:tcPr>
            <w:tcW w:type="dxa" w:w="1728"/>
          </w:tcPr>
          <w:p>
            <w:pPr>
              <w:spacing w:before="40" w:after="40"/>
            </w:pPr>
            <w:r/>
            <w:r>
              <w:rPr>
                <w:rFonts w:ascii="Times New Roman" w:hAnsi="Times New Roman"/>
                <w:b w:val="0"/>
                <w:i w:val="0"/>
                <w:caps w:val="0"/>
                <w:sz w:val="18"/>
              </w:rPr>
              <w:t>Enterprise-wide</w:t>
            </w:r>
          </w:p>
        </w:tc>
        <w:tc>
          <w:tcPr>
            <w:tcW w:type="dxa" w:w="1728"/>
          </w:tcPr>
          <w:p>
            <w:pPr>
              <w:spacing w:before="40" w:after="40"/>
            </w:pPr>
            <w:r/>
            <w:r>
              <w:rPr>
                <w:rFonts w:ascii="Times New Roman" w:hAnsi="Times New Roman"/>
                <w:b w:val="0"/>
                <w:i w:val="0"/>
                <w:caps w:val="0"/>
                <w:sz w:val="18"/>
              </w:rPr>
              <w:t>Generic LLM limitations in clinical settings</w:t>
            </w:r>
          </w:p>
        </w:tc>
      </w:tr>
      <w:tr>
        <w:tc>
          <w:tcPr>
            <w:tcW w:type="dxa" w:w="1728"/>
          </w:tcPr>
          <w:p>
            <w:pPr>
              <w:spacing w:before="40" w:after="40"/>
            </w:pPr>
            <w:r/>
            <w:r>
              <w:rPr>
                <w:rFonts w:ascii="Times New Roman" w:hAnsi="Times New Roman"/>
                <w:b w:val="0"/>
                <w:i w:val="0"/>
                <w:caps w:val="0"/>
                <w:sz w:val="18"/>
              </w:rPr>
              <w:t>Amazon AWS Health</w:t>
            </w:r>
          </w:p>
        </w:tc>
        <w:tc>
          <w:tcPr>
            <w:tcW w:type="dxa" w:w="1728"/>
          </w:tcPr>
          <w:p>
            <w:pPr>
              <w:spacing w:before="40" w:after="40"/>
            </w:pPr>
            <w:r/>
            <w:r>
              <w:rPr>
                <w:rFonts w:ascii="Times New Roman" w:hAnsi="Times New Roman"/>
                <w:b w:val="0"/>
                <w:i w:val="0"/>
                <w:caps w:val="0"/>
                <w:sz w:val="18"/>
              </w:rPr>
              <w:t>HealthLake; Comprehend Medical</w:t>
            </w:r>
          </w:p>
        </w:tc>
        <w:tc>
          <w:tcPr>
            <w:tcW w:type="dxa" w:w="1728"/>
          </w:tcPr>
          <w:p>
            <w:pPr>
              <w:spacing w:before="40" w:after="40"/>
            </w:pPr>
            <w:r/>
            <w:r>
              <w:rPr>
                <w:rFonts w:ascii="Times New Roman" w:hAnsi="Times New Roman"/>
                <w:b w:val="0"/>
                <w:i w:val="0"/>
                <w:caps w:val="0"/>
                <w:sz w:val="18"/>
              </w:rPr>
              <w:t>NLP + data infrastructure</w:t>
            </w:r>
          </w:p>
        </w:tc>
        <w:tc>
          <w:tcPr>
            <w:tcW w:type="dxa" w:w="1728"/>
          </w:tcPr>
          <w:p>
            <w:pPr>
              <w:spacing w:before="40" w:after="40"/>
            </w:pPr>
            <w:r/>
            <w:r>
              <w:rPr>
                <w:rFonts w:ascii="Times New Roman" w:hAnsi="Times New Roman"/>
                <w:b w:val="0"/>
                <w:i w:val="0"/>
                <w:caps w:val="0"/>
                <w:sz w:val="18"/>
              </w:rPr>
              <w:t>Broad SME market</w:t>
            </w:r>
          </w:p>
        </w:tc>
        <w:tc>
          <w:tcPr>
            <w:tcW w:type="dxa" w:w="1728"/>
          </w:tcPr>
          <w:p>
            <w:pPr>
              <w:spacing w:before="40" w:after="40"/>
            </w:pPr>
            <w:r/>
            <w:r>
              <w:rPr>
                <w:rFonts w:ascii="Times New Roman" w:hAnsi="Times New Roman"/>
                <w:b w:val="0"/>
                <w:i w:val="0"/>
                <w:caps w:val="0"/>
                <w:sz w:val="18"/>
              </w:rPr>
              <w:t>Lack of clinical brand credibility</w:t>
            </w:r>
          </w:p>
        </w:tc>
      </w:tr>
      <w:tr>
        <w:tc>
          <w:tcPr>
            <w:tcW w:type="dxa" w:w="1728"/>
          </w:tcPr>
          <w:p>
            <w:pPr>
              <w:spacing w:before="40" w:after="40"/>
            </w:pPr>
            <w:r/>
            <w:r>
              <w:rPr>
                <w:rFonts w:ascii="Times New Roman" w:hAnsi="Times New Roman"/>
                <w:b w:val="0"/>
                <w:i w:val="0"/>
                <w:caps w:val="0"/>
                <w:sz w:val="18"/>
              </w:rPr>
              <w:t>IBM Watson Health</w:t>
            </w:r>
          </w:p>
        </w:tc>
        <w:tc>
          <w:tcPr>
            <w:tcW w:type="dxa" w:w="1728"/>
          </w:tcPr>
          <w:p>
            <w:pPr>
              <w:spacing w:before="40" w:after="40"/>
            </w:pPr>
            <w:r/>
            <w:r>
              <w:rPr>
                <w:rFonts w:ascii="Times New Roman" w:hAnsi="Times New Roman"/>
                <w:b w:val="0"/>
                <w:i w:val="0"/>
                <w:caps w:val="0"/>
                <w:sz w:val="18"/>
              </w:rPr>
              <w:t>Oncology AI (divested 2022)</w:t>
            </w:r>
          </w:p>
        </w:tc>
        <w:tc>
          <w:tcPr>
            <w:tcW w:type="dxa" w:w="1728"/>
          </w:tcPr>
          <w:p>
            <w:pPr>
              <w:spacing w:before="40" w:after="40"/>
            </w:pPr>
            <w:r/>
            <w:r>
              <w:rPr>
                <w:rFonts w:ascii="Times New Roman" w:hAnsi="Times New Roman"/>
                <w:b w:val="0"/>
                <w:i w:val="0"/>
                <w:caps w:val="0"/>
                <w:sz w:val="18"/>
              </w:rPr>
              <w:t>Supervised learning</w:t>
            </w:r>
          </w:p>
        </w:tc>
        <w:tc>
          <w:tcPr>
            <w:tcW w:type="dxa" w:w="1728"/>
          </w:tcPr>
          <w:p>
            <w:pPr>
              <w:spacing w:before="40" w:after="40"/>
            </w:pPr>
            <w:r/>
            <w:r>
              <w:rPr>
                <w:rFonts w:ascii="Times New Roman" w:hAnsi="Times New Roman"/>
                <w:b w:val="0"/>
                <w:i w:val="0"/>
                <w:caps w:val="0"/>
                <w:sz w:val="18"/>
              </w:rPr>
              <w:t>Sold to Francisco Partners</w:t>
            </w:r>
          </w:p>
        </w:tc>
        <w:tc>
          <w:tcPr>
            <w:tcW w:type="dxa" w:w="1728"/>
          </w:tcPr>
          <w:p>
            <w:pPr>
              <w:spacing w:before="40" w:after="40"/>
            </w:pPr>
            <w:r/>
            <w:r>
              <w:rPr>
                <w:rFonts w:ascii="Times New Roman" w:hAnsi="Times New Roman"/>
                <w:b w:val="0"/>
                <w:i w:val="0"/>
                <w:caps w:val="0"/>
                <w:sz w:val="18"/>
              </w:rPr>
              <w:t>Overclaimed clinical capabilities; failed validation</w:t>
            </w:r>
          </w:p>
        </w:tc>
      </w:tr>
    </w:tbl>
    <w:p>
      <w:pPr>
        <w:spacing w:after="80"/>
      </w:pPr>
    </w:p>
    <w:p>
      <w:pPr>
        <w:spacing w:before="280" w:after="80"/>
        <w:jc w:val="left"/>
      </w:pPr>
      <w:r>
        <w:rPr>
          <w:rFonts w:ascii="Times New Roman" w:hAnsi="Times New Roman"/>
          <w:b/>
          <w:i w:val="0"/>
          <w:caps w:val="0"/>
          <w:color w:val="333333"/>
          <w:sz w:val="18"/>
        </w:rPr>
        <w:t>THE IBM WATSON HEALTH WARNING</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IBM Watson Health serves as the most studied cautionary tale in health AI. IBM announced Watson for Oncology in 2011 as a system that would recommend cancer treatment plans. By 2022, IBM had divested Watson Health after multiple health systems reported that its recommendations did not align with clinical standards, were trained on too few cases, and in some instances suggested unsafe treatments.</w:t>
      </w:r>
    </w:p>
    <w:p>
      <w:pPr>
        <w:spacing w:before="0" w:after="100"/>
        <w:ind w:firstLine="0"/>
        <w:jc w:val="both"/>
      </w:pPr>
      <w:r>
        <w:rPr>
          <w:rFonts w:ascii="Times New Roman" w:hAnsi="Times New Roman"/>
          <w:b w:val="0"/>
          <w:i w:val="0"/>
          <w:caps w:val="0"/>
          <w:sz w:val="22"/>
        </w:rPr>
        <w:t>The failure had structural causes directly relevant to evaluating Mayo Clinic Platform:</w:t>
      </w:r>
    </w:p>
    <w:p>
      <w:pPr>
        <w:pStyle w:val="ListBullet"/>
        <w:spacing w:before="20" w:after="20"/>
        <w:jc w:val="left"/>
      </w:pPr>
      <w:r>
        <w:rPr>
          <w:rFonts w:ascii="Times New Roman" w:hAnsi="Times New Roman"/>
          <w:b/>
          <w:i w:val="0"/>
          <w:caps w:val="0"/>
          <w:sz w:val="21"/>
        </w:rPr>
        <w:t>Validation gap</w:t>
      </w:r>
      <w:r>
        <w:rPr>
          <w:rFonts w:ascii="Times New Roman" w:hAnsi="Times New Roman"/>
          <w:b w:val="0"/>
          <w:i w:val="0"/>
          <w:caps w:val="0"/>
          <w:sz w:val="21"/>
        </w:rPr>
        <w:t>: Watson was trained on cases from a single institution (Memorial Sloan Kettering) and did not generalize to different patient populations. MD Anderson Cancer Center discontinued a $62 million Watson project in 2017 after finding recommendations that contradicted physician judgment and, in some cases, suggested treatments that physicians considered clinically dangerous.</w:t>
      </w:r>
    </w:p>
    <w:p>
      <w:pPr>
        <w:pStyle w:val="ListBullet"/>
        <w:spacing w:before="20" w:after="20"/>
        <w:jc w:val="left"/>
      </w:pPr>
      <w:r>
        <w:rPr>
          <w:rFonts w:ascii="Times New Roman" w:hAnsi="Times New Roman"/>
          <w:b/>
          <w:i w:val="0"/>
          <w:caps w:val="0"/>
          <w:sz w:val="21"/>
        </w:rPr>
        <w:t>Explainability deficit</w:t>
      </w:r>
      <w:r>
        <w:rPr>
          <w:rFonts w:ascii="Times New Roman" w:hAnsi="Times New Roman"/>
          <w:b w:val="0"/>
          <w:i w:val="0"/>
          <w:caps w:val="0"/>
          <w:sz w:val="21"/>
        </w:rPr>
        <w:t>: Physicians could not understand why Watson made specific recommendations, making it impossible to calibrate trust. Without explainability, there is no principled mechanism to decide when to follow the AI and when to override it.</w:t>
      </w:r>
    </w:p>
    <w:p>
      <w:pPr>
        <w:pStyle w:val="ListBullet"/>
        <w:spacing w:before="20" w:after="20"/>
        <w:jc w:val="left"/>
      </w:pPr>
      <w:r>
        <w:rPr>
          <w:rFonts w:ascii="Times New Roman" w:hAnsi="Times New Roman"/>
          <w:b/>
          <w:i w:val="0"/>
          <w:caps w:val="0"/>
          <w:sz w:val="21"/>
        </w:rPr>
        <w:t>Overclaiming</w:t>
      </w:r>
      <w:r>
        <w:rPr>
          <w:rFonts w:ascii="Times New Roman" w:hAnsi="Times New Roman"/>
          <w:b w:val="0"/>
          <w:i w:val="0"/>
          <w:caps w:val="0"/>
          <w:sz w:val="21"/>
        </w:rPr>
        <w:t>: Commercial pressure led IBM to market capabilities the system had not demonstrated in controlled clinical evaluation. Watson was sold to hospital executives, not to the clinical researchers who could have identified its limitations before deployment.</w:t>
      </w:r>
    </w:p>
    <w:p>
      <w:pPr>
        <w:pStyle w:val="ListBullet"/>
        <w:spacing w:before="20" w:after="20"/>
        <w:jc w:val="left"/>
      </w:pPr>
      <w:r>
        <w:rPr>
          <w:rFonts w:ascii="Times New Roman" w:hAnsi="Times New Roman"/>
          <w:b/>
          <w:i w:val="0"/>
          <w:caps w:val="0"/>
          <w:sz w:val="21"/>
        </w:rPr>
        <w:t>Governance absence</w:t>
      </w:r>
      <w:r>
        <w:rPr>
          <w:rFonts w:ascii="Times New Roman" w:hAnsi="Times New Roman"/>
          <w:b w:val="0"/>
          <w:i w:val="0"/>
          <w:caps w:val="0"/>
          <w:sz w:val="21"/>
        </w:rPr>
        <w:t>: No independent mechanism existed to validate Watson's recommendations against actual patient outcomes at scale. There was no equivalent of Mayo's DaTA Board.</w:t>
      </w:r>
    </w:p>
    <w:p>
      <w:pPr>
        <w:spacing w:before="0" w:after="100"/>
        <w:ind w:firstLine="0"/>
        <w:jc w:val="both"/>
      </w:pPr>
      <w:r>
        <w:rPr>
          <w:rFonts w:ascii="Times New Roman" w:hAnsi="Times New Roman"/>
          <w:b w:val="0"/>
          <w:i w:val="0"/>
          <w:caps w:val="0"/>
          <w:sz w:val="22"/>
        </w:rPr>
        <w:t>Mayo Clinic Platform's design choices -- federated governance, the DaTA Board, the "bin size of 10" de-identification standard, the Platform_Accelerate validation requirement, and the explicit framing of FDA clearance as a bar for deployment -- reflect lessons from the Watson failure. Whether those safeguards are sufficient at 56 million patient lives and 81 solution developers is a question the case invites students to examine critically.</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PART 6: ANALYTICAL FRAMEWORKS</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FRAMEWORK 1: PLATFORM STRATEGY (TWO-SIDED MARKETS)</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Michael Katz and Carl Shapiro's work on network externalities, and subsequent platform strategy research (Rochet and Tirole; Parker, Van Alstyne, and Choudary), identifies key variables for platform success:</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
              <w:rPr>
                <w:rFonts w:ascii="Times New Roman" w:hAnsi="Times New Roman"/>
                <w:b/>
                <w:i w:val="0"/>
                <w:caps w:val="0"/>
                <w:sz w:val="18"/>
              </w:rPr>
              <w:t>Variable</w:t>
            </w:r>
          </w:p>
        </w:tc>
        <w:tc>
          <w:tcPr>
            <w:tcW w:type="dxa" w:w="4320"/>
          </w:tcPr>
          <w:p>
            <w:pPr>
              <w:spacing w:before="40" w:after="40"/>
            </w:pPr>
            <w:r/>
            <w:r>
              <w:rPr>
                <w:rFonts w:ascii="Times New Roman" w:hAnsi="Times New Roman"/>
                <w:b/>
                <w:i w:val="0"/>
                <w:caps w:val="0"/>
                <w:sz w:val="18"/>
              </w:rPr>
              <w:t>Mayo Clinic Platform Application</w:t>
            </w:r>
          </w:p>
        </w:tc>
      </w:tr>
      <w:tr>
        <w:tc>
          <w:tcPr>
            <w:tcW w:type="dxa" w:w="4320"/>
          </w:tcPr>
          <w:p>
            <w:pPr>
              <w:spacing w:before="40" w:after="40"/>
            </w:pPr>
            <w:r/>
            <w:r>
              <w:rPr>
                <w:rFonts w:ascii="Times New Roman" w:hAnsi="Times New Roman"/>
                <w:b w:val="0"/>
                <w:i w:val="0"/>
                <w:caps w:val="0"/>
                <w:sz w:val="18"/>
              </w:rPr>
              <w:t>Same-side network effects</w:t>
            </w:r>
          </w:p>
        </w:tc>
        <w:tc>
          <w:tcPr>
            <w:tcW w:type="dxa" w:w="4320"/>
          </w:tcPr>
          <w:p>
            <w:pPr>
              <w:spacing w:before="40" w:after="40"/>
            </w:pPr>
            <w:r/>
            <w:r>
              <w:rPr>
                <w:rFonts w:ascii="Times New Roman" w:hAnsi="Times New Roman"/>
                <w:b w:val="0"/>
                <w:i w:val="0"/>
                <w:caps w:val="0"/>
                <w:sz w:val="18"/>
              </w:rPr>
              <w:t>More patient data makes algorithms more accurate for all users</w:t>
            </w:r>
          </w:p>
        </w:tc>
      </w:tr>
      <w:tr>
        <w:tc>
          <w:tcPr>
            <w:tcW w:type="dxa" w:w="4320"/>
          </w:tcPr>
          <w:p>
            <w:pPr>
              <w:spacing w:before="40" w:after="40"/>
            </w:pPr>
            <w:r/>
            <w:r>
              <w:rPr>
                <w:rFonts w:ascii="Times New Roman" w:hAnsi="Times New Roman"/>
                <w:b w:val="0"/>
                <w:i w:val="0"/>
                <w:caps w:val="0"/>
                <w:sz w:val="18"/>
              </w:rPr>
              <w:t>Cross-side network effects</w:t>
            </w:r>
          </w:p>
        </w:tc>
        <w:tc>
          <w:tcPr>
            <w:tcW w:type="dxa" w:w="4320"/>
          </w:tcPr>
          <w:p>
            <w:pPr>
              <w:spacing w:before="40" w:after="40"/>
            </w:pPr>
            <w:r/>
            <w:r>
              <w:rPr>
                <w:rFonts w:ascii="Times New Roman" w:hAnsi="Times New Roman"/>
                <w:b w:val="0"/>
                <w:i w:val="0"/>
                <w:caps w:val="0"/>
                <w:sz w:val="18"/>
              </w:rPr>
              <w:t>More developers attract more institutions; more institutions attract more developers</w:t>
            </w:r>
          </w:p>
        </w:tc>
      </w:tr>
      <w:tr>
        <w:tc>
          <w:tcPr>
            <w:tcW w:type="dxa" w:w="4320"/>
          </w:tcPr>
          <w:p>
            <w:pPr>
              <w:spacing w:before="40" w:after="40"/>
            </w:pPr>
            <w:r/>
            <w:r>
              <w:rPr>
                <w:rFonts w:ascii="Times New Roman" w:hAnsi="Times New Roman"/>
                <w:b w:val="0"/>
                <w:i w:val="0"/>
                <w:caps w:val="0"/>
                <w:sz w:val="18"/>
              </w:rPr>
              <w:t>Envelopment risk</w:t>
            </w:r>
          </w:p>
        </w:tc>
        <w:tc>
          <w:tcPr>
            <w:tcW w:type="dxa" w:w="4320"/>
          </w:tcPr>
          <w:p>
            <w:pPr>
              <w:spacing w:before="40" w:after="40"/>
            </w:pPr>
            <w:r/>
            <w:r>
              <w:rPr>
                <w:rFonts w:ascii="Times New Roman" w:hAnsi="Times New Roman"/>
                <w:b w:val="0"/>
                <w:i w:val="0"/>
                <w:caps w:val="0"/>
                <w:sz w:val="18"/>
              </w:rPr>
              <w:t>Could Google or Microsoft absorb Mayo's platform function entirely?</w:t>
            </w:r>
          </w:p>
        </w:tc>
      </w:tr>
      <w:tr>
        <w:tc>
          <w:tcPr>
            <w:tcW w:type="dxa" w:w="4320"/>
          </w:tcPr>
          <w:p>
            <w:pPr>
              <w:spacing w:before="40" w:after="40"/>
            </w:pPr>
            <w:r/>
            <w:r>
              <w:rPr>
                <w:rFonts w:ascii="Times New Roman" w:hAnsi="Times New Roman"/>
                <w:b w:val="0"/>
                <w:i w:val="0"/>
                <w:caps w:val="0"/>
                <w:sz w:val="18"/>
              </w:rPr>
              <w:t>Multi-homing</w:t>
            </w:r>
          </w:p>
        </w:tc>
        <w:tc>
          <w:tcPr>
            <w:tcW w:type="dxa" w:w="4320"/>
          </w:tcPr>
          <w:p>
            <w:pPr>
              <w:spacing w:before="40" w:after="40"/>
            </w:pPr>
            <w:r/>
            <w:r>
              <w:rPr>
                <w:rFonts w:ascii="Times New Roman" w:hAnsi="Times New Roman"/>
                <w:b w:val="0"/>
                <w:i w:val="0"/>
                <w:caps w:val="0"/>
                <w:sz w:val="18"/>
              </w:rPr>
              <w:t>Can startups use both Mayo data AND Epic App Orchard simultaneously?</w:t>
            </w:r>
          </w:p>
        </w:tc>
      </w:tr>
      <w:tr>
        <w:tc>
          <w:tcPr>
            <w:tcW w:type="dxa" w:w="4320"/>
          </w:tcPr>
          <w:p>
            <w:pPr>
              <w:spacing w:before="40" w:after="40"/>
            </w:pPr>
            <w:r/>
            <w:r>
              <w:rPr>
                <w:rFonts w:ascii="Times New Roman" w:hAnsi="Times New Roman"/>
                <w:b w:val="0"/>
                <w:i w:val="0"/>
                <w:caps w:val="0"/>
                <w:sz w:val="18"/>
              </w:rPr>
              <w:t>Openness vs. control</w:t>
            </w:r>
          </w:p>
        </w:tc>
        <w:tc>
          <w:tcPr>
            <w:tcW w:type="dxa" w:w="4320"/>
          </w:tcPr>
          <w:p>
            <w:pPr>
              <w:spacing w:before="40" w:after="40"/>
            </w:pPr>
            <w:r/>
            <w:r>
              <w:rPr>
                <w:rFonts w:ascii="Times New Roman" w:hAnsi="Times New Roman"/>
                <w:b w:val="0"/>
                <w:i w:val="0"/>
                <w:caps w:val="0"/>
                <w:sz w:val="18"/>
              </w:rPr>
              <w:t>How much control should Mayo retain over who enters the ecosystem?</w:t>
            </w:r>
          </w:p>
        </w:tc>
      </w:tr>
    </w:tbl>
    <w:p>
      <w:pPr>
        <w:spacing w:after="80"/>
      </w:pPr>
    </w:p>
    <w:p>
      <w:pPr>
        <w:spacing w:before="0" w:after="100"/>
        <w:ind w:firstLine="0"/>
        <w:jc w:val="both"/>
      </w:pPr>
      <w:r>
        <w:rPr>
          <w:rFonts w:ascii="Times New Roman" w:hAnsi="Times New Roman"/>
          <w:b/>
          <w:i w:val="0"/>
          <w:caps w:val="0"/>
          <w:sz w:val="22"/>
        </w:rPr>
        <w:t>Discussion prompt:</w:t>
      </w:r>
      <w:r>
        <w:rPr>
          <w:rFonts w:ascii="Times New Roman" w:hAnsi="Times New Roman"/>
          <w:b w:val="0"/>
          <w:i w:val="0"/>
          <w:caps w:val="0"/>
          <w:sz w:val="22"/>
        </w:rPr>
        <w:t xml:space="preserve"> Where on the openness-control spectrum should Mayo Clinic Platform sit? What are the tradeoffs of making the enclave more vs. less open?</w:t>
      </w:r>
    </w:p>
    <w:p>
      <w:pPr>
        <w:spacing w:before="280" w:after="80"/>
        <w:jc w:val="left"/>
      </w:pPr>
      <w:r>
        <w:rPr>
          <w:rFonts w:ascii="Times New Roman" w:hAnsi="Times New Roman"/>
          <w:b/>
          <w:i w:val="0"/>
          <w:caps w:val="0"/>
          <w:color w:val="333333"/>
          <w:sz w:val="18"/>
        </w:rPr>
        <w:t>FRAMEWORK 2: INSTITUTIONAL TRUST AND LEGITIMACY</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Organizational theorists (DiMaggio and Powell; Suchman) distinguish three types of organizational legitimacy:</w:t>
      </w:r>
    </w:p>
    <w:p>
      <w:pPr>
        <w:pStyle w:val="ListBullet"/>
        <w:spacing w:before="20" w:after="20"/>
        <w:jc w:val="left"/>
      </w:pPr>
      <w:r>
        <w:rPr>
          <w:rFonts w:ascii="Times New Roman" w:hAnsi="Times New Roman"/>
          <w:b/>
          <w:i w:val="0"/>
          <w:caps w:val="0"/>
          <w:sz w:val="21"/>
        </w:rPr>
        <w:t>Normative legitimacy</w:t>
      </w:r>
      <w:r>
        <w:rPr>
          <w:rFonts w:ascii="Times New Roman" w:hAnsi="Times New Roman"/>
          <w:b w:val="0"/>
          <w:i w:val="0"/>
          <w:caps w:val="0"/>
          <w:sz w:val="21"/>
        </w:rPr>
        <w:t>: The organization does what is considered "right" by its field</w:t>
      </w:r>
    </w:p>
    <w:p>
      <w:pPr>
        <w:pStyle w:val="ListBullet"/>
        <w:spacing w:before="20" w:after="20"/>
        <w:jc w:val="left"/>
      </w:pPr>
      <w:r>
        <w:rPr>
          <w:rFonts w:ascii="Times New Roman" w:hAnsi="Times New Roman"/>
          <w:b/>
          <w:i w:val="0"/>
          <w:caps w:val="0"/>
          <w:sz w:val="21"/>
        </w:rPr>
        <w:t>Cognitive legitimacy</w:t>
      </w:r>
      <w:r>
        <w:rPr>
          <w:rFonts w:ascii="Times New Roman" w:hAnsi="Times New Roman"/>
          <w:b w:val="0"/>
          <w:i w:val="0"/>
          <w:caps w:val="0"/>
          <w:sz w:val="21"/>
        </w:rPr>
        <w:t>: The organization's activities are taken for granted as sensible</w:t>
      </w:r>
    </w:p>
    <w:p>
      <w:pPr>
        <w:pStyle w:val="ListBullet"/>
        <w:spacing w:before="20" w:after="20"/>
        <w:jc w:val="left"/>
      </w:pPr>
      <w:r>
        <w:rPr>
          <w:rFonts w:ascii="Times New Roman" w:hAnsi="Times New Roman"/>
          <w:b/>
          <w:i w:val="0"/>
          <w:caps w:val="0"/>
          <w:sz w:val="21"/>
        </w:rPr>
        <w:t>Regulative legitimacy</w:t>
      </w:r>
      <w:r>
        <w:rPr>
          <w:rFonts w:ascii="Times New Roman" w:hAnsi="Times New Roman"/>
          <w:b w:val="0"/>
          <w:i w:val="0"/>
          <w:caps w:val="0"/>
          <w:sz w:val="21"/>
        </w:rPr>
        <w:t>: The organization complies with laws and regulations</w:t>
      </w:r>
    </w:p>
    <w:p>
      <w:pPr>
        <w:spacing w:before="0" w:after="100"/>
        <w:ind w:firstLine="0"/>
        <w:jc w:val="both"/>
      </w:pPr>
      <w:r>
        <w:rPr>
          <w:rFonts w:ascii="Times New Roman" w:hAnsi="Times New Roman"/>
          <w:b w:val="0"/>
          <w:i w:val="0"/>
          <w:caps w:val="0"/>
          <w:sz w:val="22"/>
        </w:rPr>
        <w:t>Mayo Clinic's core asset in its Platform strategy is normative legitimacy -- the brand trust built over 157 years. Halamka explicitly invoked this:</w:t>
      </w:r>
    </w:p>
    <w:p>
      <w:pPr>
        <w:spacing w:before="160" w:after="40"/>
        <w:ind w:left="720"/>
        <w:jc w:val="left"/>
      </w:pPr>
      <w:r>
        <w:rPr>
          <w:rFonts w:ascii="Times New Roman" w:hAnsi="Times New Roman"/>
          <w:b w:val="0"/>
          <w:i/>
          <w:caps w:val="0"/>
          <w:color w:val="555555"/>
          <w:sz w:val="21"/>
        </w:rPr>
        <w:t>“"The Mayo brand is a very powerful way to bring people together."”</w:t>
      </w:r>
    </w:p>
    <w:p>
      <w:pPr>
        <w:spacing w:before="0" w:after="160"/>
        <w:ind w:left="720"/>
        <w:jc w:val="left"/>
      </w:pPr>
      <w:r>
        <w:rPr>
          <w:rFonts w:ascii="Times New Roman" w:hAnsi="Times New Roman"/>
          <w:b w:val="0"/>
          <w:i w:val="0"/>
          <w:caps w:val="0"/>
          <w:color w:val="555555"/>
          <w:sz w:val="18"/>
        </w:rPr>
        <w:t>— Dr. John Halamka, HealthLeaders Media (2020) [T2]</w:t>
      </w:r>
    </w:p>
    <w:p>
      <w:pPr>
        <w:spacing w:before="0" w:after="100"/>
        <w:ind w:firstLine="0"/>
        <w:jc w:val="both"/>
      </w:pPr>
      <w:r>
        <w:rPr>
          <w:rFonts w:ascii="Times New Roman" w:hAnsi="Times New Roman"/>
          <w:b/>
          <w:i w:val="0"/>
          <w:caps w:val="0"/>
          <w:sz w:val="22"/>
        </w:rPr>
        <w:t>Discussion prompt:</w:t>
      </w:r>
      <w:r>
        <w:rPr>
          <w:rFonts w:ascii="Times New Roman" w:hAnsi="Times New Roman"/>
          <w:b w:val="0"/>
          <w:i w:val="0"/>
          <w:caps w:val="0"/>
          <w:sz w:val="22"/>
        </w:rPr>
        <w:t xml:space="preserve"> What actions or decisions could erode Mayo's normative legitimacy? What governance mechanisms are designed to protect it? What happens to the platform business if that legitimacy is damaged?</w:t>
      </w:r>
    </w:p>
    <w:p>
      <w:pPr>
        <w:spacing w:before="280" w:after="80"/>
        <w:jc w:val="left"/>
      </w:pPr>
      <w:r>
        <w:rPr>
          <w:rFonts w:ascii="Times New Roman" w:hAnsi="Times New Roman"/>
          <w:b/>
          <w:i w:val="0"/>
          <w:caps w:val="0"/>
          <w:color w:val="333333"/>
          <w:sz w:val="18"/>
        </w:rPr>
        <w:t>FRAMEWORK 3: DISRUPTIVE INNOVATION (CHRISTENSEN)</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Clayton Christensen's disruption theory distinguishes between sustaining innovations (which improve existing products for existing customers) and disruptive innovations (which initially underperform on traditional metrics but create new markets by serving overlooked customers or reducing cost dramatically).</w:t>
      </w:r>
    </w:p>
    <w:p>
      <w:pPr>
        <w:spacing w:before="0" w:after="100"/>
        <w:ind w:firstLine="0"/>
        <w:jc w:val="both"/>
      </w:pPr>
      <w:r>
        <w:rPr>
          <w:rFonts w:ascii="Times New Roman" w:hAnsi="Times New Roman"/>
          <w:b/>
          <w:i w:val="0"/>
          <w:caps w:val="0"/>
          <w:sz w:val="22"/>
        </w:rPr>
        <w:t>Applying the disruption lens to Mayo Clinic Platform:</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rFonts w:ascii="Times New Roman" w:hAnsi="Times New Roman"/>
                <w:b/>
                <w:i w:val="0"/>
                <w:caps w:val="0"/>
                <w:sz w:val="18"/>
              </w:rPr>
              <w:t>Dimension</w:t>
            </w:r>
          </w:p>
        </w:tc>
        <w:tc>
          <w:tcPr>
            <w:tcW w:type="dxa" w:w="2880"/>
          </w:tcPr>
          <w:p>
            <w:pPr>
              <w:spacing w:before="40" w:after="40"/>
            </w:pPr>
            <w:r/>
            <w:r>
              <w:rPr>
                <w:rFonts w:ascii="Times New Roman" w:hAnsi="Times New Roman"/>
                <w:b/>
                <w:i w:val="0"/>
                <w:caps w:val="0"/>
                <w:sz w:val="18"/>
              </w:rPr>
              <w:t>Sustaining Reading</w:t>
            </w:r>
          </w:p>
        </w:tc>
        <w:tc>
          <w:tcPr>
            <w:tcW w:type="dxa" w:w="2880"/>
          </w:tcPr>
          <w:p>
            <w:pPr>
              <w:spacing w:before="40" w:after="40"/>
            </w:pPr>
            <w:r/>
            <w:r>
              <w:rPr>
                <w:rFonts w:ascii="Times New Roman" w:hAnsi="Times New Roman"/>
                <w:b/>
                <w:i w:val="0"/>
                <w:caps w:val="0"/>
                <w:sz w:val="18"/>
              </w:rPr>
              <w:t>Disruptive Reading</w:t>
            </w:r>
          </w:p>
        </w:tc>
      </w:tr>
      <w:tr>
        <w:tc>
          <w:tcPr>
            <w:tcW w:type="dxa" w:w="2880"/>
          </w:tcPr>
          <w:p>
            <w:pPr>
              <w:spacing w:before="40" w:after="40"/>
            </w:pPr>
            <w:r/>
            <w:r>
              <w:rPr>
                <w:rFonts w:ascii="Times New Roman" w:hAnsi="Times New Roman"/>
                <w:b w:val="0"/>
                <w:i w:val="0"/>
                <w:caps w:val="0"/>
                <w:sz w:val="18"/>
              </w:rPr>
              <w:t>Target customer</w:t>
            </w:r>
          </w:p>
        </w:tc>
        <w:tc>
          <w:tcPr>
            <w:tcW w:type="dxa" w:w="2880"/>
          </w:tcPr>
          <w:p>
            <w:pPr>
              <w:spacing w:before="40" w:after="40"/>
            </w:pPr>
            <w:r/>
            <w:r>
              <w:rPr>
                <w:rFonts w:ascii="Times New Roman" w:hAnsi="Times New Roman"/>
                <w:b w:val="0"/>
                <w:i w:val="0"/>
                <w:caps w:val="0"/>
                <w:sz w:val="18"/>
              </w:rPr>
              <w:t>Existing Mayo patients and partner institutions</w:t>
            </w:r>
          </w:p>
        </w:tc>
        <w:tc>
          <w:tcPr>
            <w:tcW w:type="dxa" w:w="2880"/>
          </w:tcPr>
          <w:p>
            <w:pPr>
              <w:spacing w:before="40" w:after="40"/>
            </w:pPr>
            <w:r/>
            <w:r>
              <w:rPr>
                <w:rFonts w:ascii="Times New Roman" w:hAnsi="Times New Roman"/>
                <w:b w:val="0"/>
                <w:i w:val="0"/>
                <w:caps w:val="0"/>
                <w:sz w:val="18"/>
              </w:rPr>
              <w:t>Health systems without AI capabilities; global populations underserved by traditional research</w:t>
            </w:r>
          </w:p>
        </w:tc>
      </w:tr>
      <w:tr>
        <w:tc>
          <w:tcPr>
            <w:tcW w:type="dxa" w:w="2880"/>
          </w:tcPr>
          <w:p>
            <w:pPr>
              <w:spacing w:before="40" w:after="40"/>
            </w:pPr>
            <w:r/>
            <w:r>
              <w:rPr>
                <w:rFonts w:ascii="Times New Roman" w:hAnsi="Times New Roman"/>
                <w:b w:val="0"/>
                <w:i w:val="0"/>
                <w:caps w:val="0"/>
                <w:sz w:val="18"/>
              </w:rPr>
              <w:t>Performance trajectory</w:t>
            </w:r>
          </w:p>
        </w:tc>
        <w:tc>
          <w:tcPr>
            <w:tcW w:type="dxa" w:w="2880"/>
          </w:tcPr>
          <w:p>
            <w:pPr>
              <w:spacing w:before="40" w:after="40"/>
            </w:pPr>
            <w:r/>
            <w:r>
              <w:rPr>
                <w:rFonts w:ascii="Times New Roman" w:hAnsi="Times New Roman"/>
                <w:b w:val="0"/>
                <w:i w:val="0"/>
                <w:caps w:val="0"/>
                <w:sz w:val="18"/>
              </w:rPr>
              <w:t>Better care for existing high-acuity cases</w:t>
            </w:r>
          </w:p>
        </w:tc>
        <w:tc>
          <w:tcPr>
            <w:tcW w:type="dxa" w:w="2880"/>
          </w:tcPr>
          <w:p>
            <w:pPr>
              <w:spacing w:before="40" w:after="40"/>
            </w:pPr>
            <w:r/>
            <w:r>
              <w:rPr>
                <w:rFonts w:ascii="Times New Roman" w:hAnsi="Times New Roman"/>
                <w:b w:val="0"/>
                <w:i w:val="0"/>
                <w:caps w:val="0"/>
                <w:sz w:val="18"/>
              </w:rPr>
              <w:t>Lower-cost clinical AI validation pipeline for startups that previously could not access real patient data</w:t>
            </w:r>
          </w:p>
        </w:tc>
      </w:tr>
      <w:tr>
        <w:tc>
          <w:tcPr>
            <w:tcW w:type="dxa" w:w="2880"/>
          </w:tcPr>
          <w:p>
            <w:pPr>
              <w:spacing w:before="40" w:after="40"/>
            </w:pPr>
            <w:r/>
            <w:r>
              <w:rPr>
                <w:rFonts w:ascii="Times New Roman" w:hAnsi="Times New Roman"/>
                <w:b w:val="0"/>
                <w:i w:val="0"/>
                <w:caps w:val="0"/>
                <w:sz w:val="18"/>
              </w:rPr>
              <w:t>Business model</w:t>
            </w:r>
          </w:p>
        </w:tc>
        <w:tc>
          <w:tcPr>
            <w:tcW w:type="dxa" w:w="2880"/>
          </w:tcPr>
          <w:p>
            <w:pPr>
              <w:spacing w:before="40" w:after="40"/>
            </w:pPr>
            <w:r/>
            <w:r>
              <w:rPr>
                <w:rFonts w:ascii="Times New Roman" w:hAnsi="Times New Roman"/>
                <w:b w:val="0"/>
                <w:i w:val="0"/>
                <w:caps w:val="0"/>
                <w:sz w:val="18"/>
              </w:rPr>
              <w:t>Premium platform fees; not fundamentally different pricing</w:t>
            </w:r>
          </w:p>
        </w:tc>
        <w:tc>
          <w:tcPr>
            <w:tcW w:type="dxa" w:w="2880"/>
          </w:tcPr>
          <w:p>
            <w:pPr>
              <w:spacing w:before="40" w:after="40"/>
            </w:pPr>
            <w:r/>
            <w:r>
              <w:rPr>
                <w:rFonts w:ascii="Times New Roman" w:hAnsi="Times New Roman"/>
                <w:b w:val="0"/>
                <w:i w:val="0"/>
                <w:caps w:val="0"/>
                <w:sz w:val="18"/>
              </w:rPr>
              <w:t>Per-use data access fees that could commoditize clinical AI validation</w:t>
            </w:r>
          </w:p>
        </w:tc>
      </w:tr>
      <w:tr>
        <w:tc>
          <w:tcPr>
            <w:tcW w:type="dxa" w:w="2880"/>
          </w:tcPr>
          <w:p>
            <w:pPr>
              <w:spacing w:before="40" w:after="40"/>
            </w:pPr>
            <w:r/>
            <w:r>
              <w:rPr>
                <w:rFonts w:ascii="Times New Roman" w:hAnsi="Times New Roman"/>
                <w:b w:val="0"/>
                <w:i w:val="0"/>
                <w:caps w:val="0"/>
                <w:sz w:val="18"/>
              </w:rPr>
              <w:t>Incumbent threat</w:t>
            </w:r>
          </w:p>
        </w:tc>
        <w:tc>
          <w:tcPr>
            <w:tcW w:type="dxa" w:w="2880"/>
          </w:tcPr>
          <w:p>
            <w:pPr>
              <w:spacing w:before="40" w:after="40"/>
            </w:pPr>
            <w:r/>
            <w:r>
              <w:rPr>
                <w:rFonts w:ascii="Times New Roman" w:hAnsi="Times New Roman"/>
                <w:b w:val="0"/>
                <w:i w:val="0"/>
                <w:caps w:val="0"/>
                <w:sz w:val="18"/>
              </w:rPr>
              <w:t>Does not directly threaten Epic or Google today</w:t>
            </w:r>
          </w:p>
        </w:tc>
        <w:tc>
          <w:tcPr>
            <w:tcW w:type="dxa" w:w="2880"/>
          </w:tcPr>
          <w:p>
            <w:pPr>
              <w:spacing w:before="40" w:after="40"/>
            </w:pPr>
            <w:r/>
            <w:r>
              <w:rPr>
                <w:rFonts w:ascii="Times New Roman" w:hAnsi="Times New Roman"/>
                <w:b w:val="0"/>
                <w:i w:val="0"/>
                <w:caps w:val="0"/>
                <w:sz w:val="18"/>
              </w:rPr>
              <w:t>Could commoditize the validation service that startups currently pay premium prices for</w:t>
            </w:r>
          </w:p>
        </w:tc>
      </w:tr>
    </w:tbl>
    <w:p>
      <w:pPr>
        <w:spacing w:after="80"/>
      </w:pPr>
    </w:p>
    <w:p>
      <w:pPr>
        <w:spacing w:before="0" w:after="100"/>
        <w:ind w:firstLine="0"/>
        <w:jc w:val="both"/>
      </w:pPr>
      <w:r>
        <w:rPr>
          <w:rFonts w:ascii="Times New Roman" w:hAnsi="Times New Roman"/>
          <w:b/>
          <w:i w:val="0"/>
          <w:caps w:val="0"/>
          <w:sz w:val="22"/>
        </w:rPr>
        <w:t>Caution for students</w:t>
      </w:r>
      <w:r>
        <w:rPr>
          <w:rFonts w:ascii="Times New Roman" w:hAnsi="Times New Roman"/>
          <w:b w:val="0"/>
          <w:i w:val="0"/>
          <w:caps w:val="0"/>
          <w:sz w:val="22"/>
        </w:rPr>
        <w:t>: Christensen's framework is frequently misapplied by treating any "new" thing as disruptive. The relevant test is whether the innovation creates a new value network, not whether it uses new technology. Argue for a classification using the specific dimensions above, not intuition.</w:t>
      </w:r>
    </w:p>
    <w:p>
      <w:pPr>
        <w:spacing w:before="0" w:after="100"/>
        <w:ind w:firstLine="0"/>
        <w:jc w:val="both"/>
      </w:pPr>
      <w:r>
        <w:rPr>
          <w:rFonts w:ascii="Times New Roman" w:hAnsi="Times New Roman"/>
          <w:b/>
          <w:i w:val="0"/>
          <w:caps w:val="0"/>
          <w:sz w:val="22"/>
        </w:rPr>
        <w:t>Open question</w:t>
      </w:r>
      <w:r>
        <w:rPr>
          <w:rFonts w:ascii="Times New Roman" w:hAnsi="Times New Roman"/>
          <w:b w:val="0"/>
          <w:i w:val="0"/>
          <w:caps w:val="0"/>
          <w:sz w:val="22"/>
        </w:rPr>
        <w:t>: If Mayo Clinic Platform succeeds at scale, does it eventually become the incumbent that a future disruptor needs to challenge?</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GLOSSARY</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
              <w:rPr>
                <w:rFonts w:ascii="Times New Roman" w:hAnsi="Times New Roman"/>
                <w:b/>
                <w:i w:val="0"/>
                <w:caps w:val="0"/>
                <w:sz w:val="18"/>
              </w:rPr>
              <w:t>Term</w:t>
            </w:r>
          </w:p>
        </w:tc>
        <w:tc>
          <w:tcPr>
            <w:tcW w:type="dxa" w:w="4320"/>
          </w:tcPr>
          <w:p>
            <w:pPr>
              <w:spacing w:before="40" w:after="40"/>
            </w:pPr>
            <w:r/>
            <w:r>
              <w:rPr>
                <w:rFonts w:ascii="Times New Roman" w:hAnsi="Times New Roman"/>
                <w:b/>
                <w:i w:val="0"/>
                <w:caps w:val="0"/>
                <w:sz w:val="18"/>
              </w:rPr>
              <w:t>Definition</w:t>
            </w:r>
          </w:p>
        </w:tc>
      </w:tr>
      <w:tr>
        <w:tc>
          <w:tcPr>
            <w:tcW w:type="dxa" w:w="4320"/>
          </w:tcPr>
          <w:p>
            <w:pPr>
              <w:spacing w:before="40" w:after="40"/>
            </w:pPr>
            <w:r/>
            <w:r>
              <w:rPr>
                <w:rFonts w:ascii="Times New Roman" w:hAnsi="Times New Roman"/>
                <w:b w:val="0"/>
                <w:i w:val="0"/>
                <w:caps w:val="0"/>
                <w:sz w:val="18"/>
              </w:rPr>
              <w:t>Algorithm</w:t>
            </w:r>
          </w:p>
        </w:tc>
        <w:tc>
          <w:tcPr>
            <w:tcW w:type="dxa" w:w="4320"/>
          </w:tcPr>
          <w:p>
            <w:pPr>
              <w:spacing w:before="40" w:after="40"/>
            </w:pPr>
            <w:r/>
            <w:r>
              <w:rPr>
                <w:rFonts w:ascii="Times New Roman" w:hAnsi="Times New Roman"/>
                <w:b w:val="0"/>
                <w:i w:val="0"/>
                <w:caps w:val="0"/>
                <w:sz w:val="18"/>
              </w:rPr>
              <w:t>A set of rules or statistical model that processes input data to produce an output</w:t>
            </w:r>
          </w:p>
        </w:tc>
      </w:tr>
      <w:tr>
        <w:tc>
          <w:tcPr>
            <w:tcW w:type="dxa" w:w="4320"/>
          </w:tcPr>
          <w:p>
            <w:pPr>
              <w:spacing w:before="40" w:after="40"/>
            </w:pPr>
            <w:r/>
            <w:r>
              <w:rPr>
                <w:rFonts w:ascii="Times New Roman" w:hAnsi="Times New Roman"/>
                <w:b w:val="0"/>
                <w:i w:val="0"/>
                <w:caps w:val="0"/>
                <w:sz w:val="18"/>
              </w:rPr>
              <w:t>De-identification</w:t>
            </w:r>
          </w:p>
        </w:tc>
        <w:tc>
          <w:tcPr>
            <w:tcW w:type="dxa" w:w="4320"/>
          </w:tcPr>
          <w:p>
            <w:pPr>
              <w:spacing w:before="40" w:after="40"/>
            </w:pPr>
            <w:r/>
            <w:r>
              <w:rPr>
                <w:rFonts w:ascii="Times New Roman" w:hAnsi="Times New Roman"/>
                <w:b w:val="0"/>
                <w:i w:val="0"/>
                <w:caps w:val="0"/>
                <w:sz w:val="18"/>
              </w:rPr>
              <w:t>Removal of personal identifiers from patient data to prevent re-identification</w:t>
            </w:r>
          </w:p>
        </w:tc>
      </w:tr>
      <w:tr>
        <w:tc>
          <w:tcPr>
            <w:tcW w:type="dxa" w:w="4320"/>
          </w:tcPr>
          <w:p>
            <w:pPr>
              <w:spacing w:before="40" w:after="40"/>
            </w:pPr>
            <w:r/>
            <w:r>
              <w:rPr>
                <w:rFonts w:ascii="Times New Roman" w:hAnsi="Times New Roman"/>
                <w:b w:val="0"/>
                <w:i w:val="0"/>
                <w:caps w:val="0"/>
                <w:sz w:val="18"/>
              </w:rPr>
              <w:t>Federated learning</w:t>
            </w:r>
          </w:p>
        </w:tc>
        <w:tc>
          <w:tcPr>
            <w:tcW w:type="dxa" w:w="4320"/>
          </w:tcPr>
          <w:p>
            <w:pPr>
              <w:spacing w:before="40" w:after="40"/>
            </w:pPr>
            <w:r/>
            <w:r>
              <w:rPr>
                <w:rFonts w:ascii="Times New Roman" w:hAnsi="Times New Roman"/>
                <w:b w:val="0"/>
                <w:i w:val="0"/>
                <w:caps w:val="0"/>
                <w:sz w:val="18"/>
              </w:rPr>
              <w:t>Machine learning technique where models train on distributed data without centralizing it</w:t>
            </w:r>
          </w:p>
        </w:tc>
      </w:tr>
      <w:tr>
        <w:tc>
          <w:tcPr>
            <w:tcW w:type="dxa" w:w="4320"/>
          </w:tcPr>
          <w:p>
            <w:pPr>
              <w:spacing w:before="40" w:after="40"/>
            </w:pPr>
            <w:r/>
            <w:r>
              <w:rPr>
                <w:rFonts w:ascii="Times New Roman" w:hAnsi="Times New Roman"/>
                <w:b w:val="0"/>
                <w:i w:val="0"/>
                <w:caps w:val="0"/>
                <w:sz w:val="18"/>
              </w:rPr>
              <w:t>Foundation model</w:t>
            </w:r>
          </w:p>
        </w:tc>
        <w:tc>
          <w:tcPr>
            <w:tcW w:type="dxa" w:w="4320"/>
          </w:tcPr>
          <w:p>
            <w:pPr>
              <w:spacing w:before="40" w:after="40"/>
            </w:pPr>
            <w:r/>
            <w:r>
              <w:rPr>
                <w:rFonts w:ascii="Times New Roman" w:hAnsi="Times New Roman"/>
                <w:b w:val="0"/>
                <w:i w:val="0"/>
                <w:caps w:val="0"/>
                <w:sz w:val="18"/>
              </w:rPr>
              <w:t>A large AI model trained on broad data and adapted for specific downstream tasks</w:t>
            </w:r>
          </w:p>
        </w:tc>
      </w:tr>
      <w:tr>
        <w:tc>
          <w:tcPr>
            <w:tcW w:type="dxa" w:w="4320"/>
          </w:tcPr>
          <w:p>
            <w:pPr>
              <w:spacing w:before="40" w:after="40"/>
            </w:pPr>
            <w:r/>
            <w:r>
              <w:rPr>
                <w:rFonts w:ascii="Times New Roman" w:hAnsi="Times New Roman"/>
                <w:b w:val="0"/>
                <w:i w:val="0"/>
                <w:caps w:val="0"/>
                <w:sz w:val="18"/>
              </w:rPr>
              <w:t>SaMD</w:t>
            </w:r>
          </w:p>
        </w:tc>
        <w:tc>
          <w:tcPr>
            <w:tcW w:type="dxa" w:w="4320"/>
          </w:tcPr>
          <w:p>
            <w:pPr>
              <w:spacing w:before="40" w:after="40"/>
            </w:pPr>
            <w:r/>
            <w:r>
              <w:rPr>
                <w:rFonts w:ascii="Times New Roman" w:hAnsi="Times New Roman"/>
                <w:b w:val="0"/>
                <w:i w:val="0"/>
                <w:caps w:val="0"/>
                <w:sz w:val="18"/>
              </w:rPr>
              <w:t>Software as a Medical Device -- software that meets FDA medical device definition</w:t>
            </w:r>
          </w:p>
        </w:tc>
      </w:tr>
      <w:tr>
        <w:tc>
          <w:tcPr>
            <w:tcW w:type="dxa" w:w="4320"/>
          </w:tcPr>
          <w:p>
            <w:pPr>
              <w:spacing w:before="40" w:after="40"/>
            </w:pPr>
            <w:r/>
            <w:r>
              <w:rPr>
                <w:rFonts w:ascii="Times New Roman" w:hAnsi="Times New Roman"/>
                <w:b w:val="0"/>
                <w:i w:val="0"/>
                <w:caps w:val="0"/>
                <w:sz w:val="18"/>
              </w:rPr>
              <w:t>510(k)</w:t>
            </w:r>
          </w:p>
        </w:tc>
        <w:tc>
          <w:tcPr>
            <w:tcW w:type="dxa" w:w="4320"/>
          </w:tcPr>
          <w:p>
            <w:pPr>
              <w:spacing w:before="40" w:after="40"/>
            </w:pPr>
            <w:r/>
            <w:r>
              <w:rPr>
                <w:rFonts w:ascii="Times New Roman" w:hAnsi="Times New Roman"/>
                <w:b w:val="0"/>
                <w:i w:val="0"/>
                <w:caps w:val="0"/>
                <w:sz w:val="18"/>
              </w:rPr>
              <w:t>FDA clearance pathway for medical devices substantially equivalent to a predicate device</w:t>
            </w:r>
          </w:p>
        </w:tc>
      </w:tr>
      <w:tr>
        <w:tc>
          <w:tcPr>
            <w:tcW w:type="dxa" w:w="4320"/>
          </w:tcPr>
          <w:p>
            <w:pPr>
              <w:spacing w:before="40" w:after="40"/>
            </w:pPr>
            <w:r/>
            <w:r>
              <w:rPr>
                <w:rFonts w:ascii="Times New Roman" w:hAnsi="Times New Roman"/>
                <w:b w:val="0"/>
                <w:i w:val="0"/>
                <w:caps w:val="0"/>
                <w:sz w:val="18"/>
              </w:rPr>
              <w:t>De Novo pathway</w:t>
            </w:r>
          </w:p>
        </w:tc>
        <w:tc>
          <w:tcPr>
            <w:tcW w:type="dxa" w:w="4320"/>
          </w:tcPr>
          <w:p>
            <w:pPr>
              <w:spacing w:before="40" w:after="40"/>
            </w:pPr>
            <w:r/>
            <w:r>
              <w:rPr>
                <w:rFonts w:ascii="Times New Roman" w:hAnsi="Times New Roman"/>
                <w:b w:val="0"/>
                <w:i w:val="0"/>
                <w:caps w:val="0"/>
                <w:sz w:val="18"/>
              </w:rPr>
              <w:t>FDA clearance pathway for novel medical devices with no predicate; used for first-of-kind AI tools</w:t>
            </w:r>
          </w:p>
        </w:tc>
      </w:tr>
      <w:tr>
        <w:tc>
          <w:tcPr>
            <w:tcW w:type="dxa" w:w="4320"/>
          </w:tcPr>
          <w:p>
            <w:pPr>
              <w:spacing w:before="40" w:after="40"/>
            </w:pPr>
            <w:r/>
            <w:r>
              <w:rPr>
                <w:rFonts w:ascii="Times New Roman" w:hAnsi="Times New Roman"/>
                <w:b w:val="0"/>
                <w:i w:val="0"/>
                <w:caps w:val="0"/>
                <w:sz w:val="18"/>
              </w:rPr>
              <w:t>HIPAA</w:t>
            </w:r>
          </w:p>
        </w:tc>
        <w:tc>
          <w:tcPr>
            <w:tcW w:type="dxa" w:w="4320"/>
          </w:tcPr>
          <w:p>
            <w:pPr>
              <w:spacing w:before="40" w:after="40"/>
            </w:pPr>
            <w:r/>
            <w:r>
              <w:rPr>
                <w:rFonts w:ascii="Times New Roman" w:hAnsi="Times New Roman"/>
                <w:b w:val="0"/>
                <w:i w:val="0"/>
                <w:caps w:val="0"/>
                <w:sz w:val="18"/>
              </w:rPr>
              <w:t>Health Insurance Portability and Accountability Act -- US health data privacy law (1996)</w:t>
            </w:r>
          </w:p>
        </w:tc>
      </w:tr>
      <w:tr>
        <w:tc>
          <w:tcPr>
            <w:tcW w:type="dxa" w:w="4320"/>
          </w:tcPr>
          <w:p>
            <w:pPr>
              <w:spacing w:before="40" w:after="40"/>
            </w:pPr>
            <w:r/>
            <w:r>
              <w:rPr>
                <w:rFonts w:ascii="Times New Roman" w:hAnsi="Times New Roman"/>
                <w:b w:val="0"/>
                <w:i w:val="0"/>
                <w:caps w:val="0"/>
                <w:sz w:val="18"/>
              </w:rPr>
              <w:t>HITECH</w:t>
            </w:r>
          </w:p>
        </w:tc>
        <w:tc>
          <w:tcPr>
            <w:tcW w:type="dxa" w:w="4320"/>
          </w:tcPr>
          <w:p>
            <w:pPr>
              <w:spacing w:before="40" w:after="40"/>
            </w:pPr>
            <w:r/>
            <w:r>
              <w:rPr>
                <w:rFonts w:ascii="Times New Roman" w:hAnsi="Times New Roman"/>
                <w:b w:val="0"/>
                <w:i w:val="0"/>
                <w:caps w:val="0"/>
                <w:sz w:val="18"/>
              </w:rPr>
              <w:t>Health Information Technology for Economic and Clinical Health Act -- EHR adoption incentives (2009)</w:t>
            </w:r>
          </w:p>
        </w:tc>
      </w:tr>
      <w:tr>
        <w:tc>
          <w:tcPr>
            <w:tcW w:type="dxa" w:w="4320"/>
          </w:tcPr>
          <w:p>
            <w:pPr>
              <w:spacing w:before="40" w:after="40"/>
            </w:pPr>
            <w:r/>
            <w:r>
              <w:rPr>
                <w:rFonts w:ascii="Times New Roman" w:hAnsi="Times New Roman"/>
                <w:b w:val="0"/>
                <w:i w:val="0"/>
                <w:caps w:val="0"/>
                <w:sz w:val="18"/>
              </w:rPr>
              <w:t>LGPD</w:t>
            </w:r>
          </w:p>
        </w:tc>
        <w:tc>
          <w:tcPr>
            <w:tcW w:type="dxa" w:w="4320"/>
          </w:tcPr>
          <w:p>
            <w:pPr>
              <w:spacing w:before="40" w:after="40"/>
            </w:pPr>
            <w:r/>
            <w:r>
              <w:rPr>
                <w:rFonts w:ascii="Times New Roman" w:hAnsi="Times New Roman"/>
                <w:b w:val="0"/>
                <w:i w:val="0"/>
                <w:caps w:val="0"/>
                <w:sz w:val="18"/>
              </w:rPr>
              <w:t>Lei Geral de Proteção de Dados -- Brazil's comprehensive federal data protection law (2020)</w:t>
            </w:r>
          </w:p>
        </w:tc>
      </w:tr>
      <w:tr>
        <w:tc>
          <w:tcPr>
            <w:tcW w:type="dxa" w:w="4320"/>
          </w:tcPr>
          <w:p>
            <w:pPr>
              <w:spacing w:before="40" w:after="40"/>
            </w:pPr>
            <w:r/>
            <w:r>
              <w:rPr>
                <w:rFonts w:ascii="Times New Roman" w:hAnsi="Times New Roman"/>
                <w:b w:val="0"/>
                <w:i w:val="0"/>
                <w:caps w:val="0"/>
                <w:sz w:val="18"/>
              </w:rPr>
              <w:t>PIPEDA</w:t>
            </w:r>
          </w:p>
        </w:tc>
        <w:tc>
          <w:tcPr>
            <w:tcW w:type="dxa" w:w="4320"/>
          </w:tcPr>
          <w:p>
            <w:pPr>
              <w:spacing w:before="40" w:after="40"/>
            </w:pPr>
            <w:r/>
            <w:r>
              <w:rPr>
                <w:rFonts w:ascii="Times New Roman" w:hAnsi="Times New Roman"/>
                <w:b w:val="0"/>
                <w:i w:val="0"/>
                <w:caps w:val="0"/>
                <w:sz w:val="18"/>
              </w:rPr>
              <w:t>Personal Information Protection and Electronic Documents Act -- Canada's federal privacy law</w:t>
            </w:r>
          </w:p>
        </w:tc>
      </w:tr>
      <w:tr>
        <w:tc>
          <w:tcPr>
            <w:tcW w:type="dxa" w:w="4320"/>
          </w:tcPr>
          <w:p>
            <w:pPr>
              <w:spacing w:before="40" w:after="40"/>
            </w:pPr>
            <w:r/>
            <w:r>
              <w:rPr>
                <w:rFonts w:ascii="Times New Roman" w:hAnsi="Times New Roman"/>
                <w:b w:val="0"/>
                <w:i w:val="0"/>
                <w:caps w:val="0"/>
                <w:sz w:val="18"/>
              </w:rPr>
              <w:t>EHR</w:t>
            </w:r>
          </w:p>
        </w:tc>
        <w:tc>
          <w:tcPr>
            <w:tcW w:type="dxa" w:w="4320"/>
          </w:tcPr>
          <w:p>
            <w:pPr>
              <w:spacing w:before="40" w:after="40"/>
            </w:pPr>
            <w:r/>
            <w:r>
              <w:rPr>
                <w:rFonts w:ascii="Times New Roman" w:hAnsi="Times New Roman"/>
                <w:b w:val="0"/>
                <w:i w:val="0"/>
                <w:caps w:val="0"/>
                <w:sz w:val="18"/>
              </w:rPr>
              <w:t>Electronic Health Record -- digital patient medical record system</w:t>
            </w:r>
          </w:p>
        </w:tc>
      </w:tr>
      <w:tr>
        <w:tc>
          <w:tcPr>
            <w:tcW w:type="dxa" w:w="4320"/>
          </w:tcPr>
          <w:p>
            <w:pPr>
              <w:spacing w:before="40" w:after="40"/>
            </w:pPr>
            <w:r/>
            <w:r>
              <w:rPr>
                <w:rFonts w:ascii="Times New Roman" w:hAnsi="Times New Roman"/>
                <w:b w:val="0"/>
                <w:i w:val="0"/>
                <w:caps w:val="0"/>
                <w:sz w:val="18"/>
              </w:rPr>
              <w:t>NLP</w:t>
            </w:r>
          </w:p>
        </w:tc>
        <w:tc>
          <w:tcPr>
            <w:tcW w:type="dxa" w:w="4320"/>
          </w:tcPr>
          <w:p>
            <w:pPr>
              <w:spacing w:before="40" w:after="40"/>
            </w:pPr>
            <w:r/>
            <w:r>
              <w:rPr>
                <w:rFonts w:ascii="Times New Roman" w:hAnsi="Times New Roman"/>
                <w:b w:val="0"/>
                <w:i w:val="0"/>
                <w:caps w:val="0"/>
                <w:sz w:val="18"/>
              </w:rPr>
              <w:t>Natural Language Processing -- AI applied to human language (clinical notes, radiology reports, etc.)</w:t>
            </w:r>
          </w:p>
        </w:tc>
      </w:tr>
      <w:tr>
        <w:tc>
          <w:tcPr>
            <w:tcW w:type="dxa" w:w="4320"/>
          </w:tcPr>
          <w:p>
            <w:pPr>
              <w:spacing w:before="40" w:after="40"/>
            </w:pPr>
            <w:r/>
            <w:r>
              <w:rPr>
                <w:rFonts w:ascii="Times New Roman" w:hAnsi="Times New Roman"/>
                <w:b w:val="0"/>
                <w:i w:val="0"/>
                <w:caps w:val="0"/>
                <w:sz w:val="18"/>
              </w:rPr>
              <w:t>Platform_Accelerate</w:t>
            </w:r>
          </w:p>
        </w:tc>
        <w:tc>
          <w:tcPr>
            <w:tcW w:type="dxa" w:w="4320"/>
          </w:tcPr>
          <w:p>
            <w:pPr>
              <w:spacing w:before="40" w:after="40"/>
            </w:pPr>
            <w:r/>
            <w:r>
              <w:rPr>
                <w:rFonts w:ascii="Times New Roman" w:hAnsi="Times New Roman"/>
                <w:b w:val="0"/>
                <w:i w:val="0"/>
                <w:caps w:val="0"/>
                <w:sz w:val="18"/>
              </w:rPr>
              <w:t>Mayo Clinic's 30-week startup incubation program for health AI companies</w:t>
            </w:r>
          </w:p>
        </w:tc>
      </w:tr>
      <w:tr>
        <w:tc>
          <w:tcPr>
            <w:tcW w:type="dxa" w:w="4320"/>
          </w:tcPr>
          <w:p>
            <w:pPr>
              <w:spacing w:before="40" w:after="40"/>
            </w:pPr>
            <w:r/>
            <w:r>
              <w:rPr>
                <w:rFonts w:ascii="Times New Roman" w:hAnsi="Times New Roman"/>
                <w:b w:val="0"/>
                <w:i w:val="0"/>
                <w:caps w:val="0"/>
                <w:sz w:val="18"/>
              </w:rPr>
              <w:t>Network effects</w:t>
            </w:r>
          </w:p>
        </w:tc>
        <w:tc>
          <w:tcPr>
            <w:tcW w:type="dxa" w:w="4320"/>
          </w:tcPr>
          <w:p>
            <w:pPr>
              <w:spacing w:before="40" w:after="40"/>
            </w:pPr>
            <w:r/>
            <w:r>
              <w:rPr>
                <w:rFonts w:ascii="Times New Roman" w:hAnsi="Times New Roman"/>
                <w:b w:val="0"/>
                <w:i w:val="0"/>
                <w:caps w:val="0"/>
                <w:sz w:val="18"/>
              </w:rPr>
              <w:t>Property by which a platform's value increases as more participants join</w:t>
            </w:r>
          </w:p>
        </w:tc>
      </w:tr>
      <w:tr>
        <w:tc>
          <w:tcPr>
            <w:tcW w:type="dxa" w:w="4320"/>
          </w:tcPr>
          <w:p>
            <w:pPr>
              <w:spacing w:before="40" w:after="40"/>
            </w:pPr>
            <w:r/>
            <w:r>
              <w:rPr>
                <w:rFonts w:ascii="Times New Roman" w:hAnsi="Times New Roman"/>
                <w:b w:val="0"/>
                <w:i w:val="0"/>
                <w:caps w:val="0"/>
                <w:sz w:val="18"/>
              </w:rPr>
              <w:t>Multi-homing</w:t>
            </w:r>
          </w:p>
        </w:tc>
        <w:tc>
          <w:tcPr>
            <w:tcW w:type="dxa" w:w="4320"/>
          </w:tcPr>
          <w:p>
            <w:pPr>
              <w:spacing w:before="40" w:after="40"/>
            </w:pPr>
            <w:r/>
            <w:r>
              <w:rPr>
                <w:rFonts w:ascii="Times New Roman" w:hAnsi="Times New Roman"/>
                <w:b w:val="0"/>
                <w:i w:val="0"/>
                <w:caps w:val="0"/>
                <w:sz w:val="18"/>
              </w:rPr>
              <w:t>Participating in multiple competing platforms simultaneously; reduces platform lock-in</w:t>
            </w:r>
          </w:p>
        </w:tc>
      </w:tr>
      <w:tr>
        <w:tc>
          <w:tcPr>
            <w:tcW w:type="dxa" w:w="4320"/>
          </w:tcPr>
          <w:p>
            <w:pPr>
              <w:spacing w:before="40" w:after="40"/>
            </w:pPr>
            <w:r/>
            <w:r>
              <w:rPr>
                <w:rFonts w:ascii="Times New Roman" w:hAnsi="Times New Roman"/>
                <w:b w:val="0"/>
                <w:i w:val="0"/>
                <w:caps w:val="0"/>
                <w:sz w:val="18"/>
              </w:rPr>
              <w:t>Envelopment</w:t>
            </w:r>
          </w:p>
        </w:tc>
        <w:tc>
          <w:tcPr>
            <w:tcW w:type="dxa" w:w="4320"/>
          </w:tcPr>
          <w:p>
            <w:pPr>
              <w:spacing w:before="40" w:after="40"/>
            </w:pPr>
            <w:r/>
            <w:r>
              <w:rPr>
                <w:rFonts w:ascii="Times New Roman" w:hAnsi="Times New Roman"/>
                <w:b w:val="0"/>
                <w:i w:val="0"/>
                <w:caps w:val="0"/>
                <w:sz w:val="18"/>
              </w:rPr>
              <w:t>Platform strategy in which one platform expands to absorb the core function of a competing platform</w:t>
            </w:r>
          </w:p>
        </w:tc>
      </w:tr>
      <w:tr>
        <w:tc>
          <w:tcPr>
            <w:tcW w:type="dxa" w:w="4320"/>
          </w:tcPr>
          <w:p>
            <w:pPr>
              <w:spacing w:before="40" w:after="40"/>
            </w:pPr>
            <w:r/>
            <w:r>
              <w:rPr>
                <w:rFonts w:ascii="Times New Roman" w:hAnsi="Times New Roman"/>
                <w:b w:val="0"/>
                <w:i w:val="0"/>
                <w:caps w:val="0"/>
                <w:sz w:val="18"/>
              </w:rPr>
              <w:t>Governance</w:t>
            </w:r>
          </w:p>
        </w:tc>
        <w:tc>
          <w:tcPr>
            <w:tcW w:type="dxa" w:w="4320"/>
          </w:tcPr>
          <w:p>
            <w:pPr>
              <w:spacing w:before="40" w:after="40"/>
            </w:pPr>
            <w:r/>
            <w:r>
              <w:rPr>
                <w:rFonts w:ascii="Times New Roman" w:hAnsi="Times New Roman"/>
                <w:b w:val="0"/>
                <w:i w:val="0"/>
                <w:caps w:val="0"/>
                <w:sz w:val="18"/>
              </w:rPr>
              <w:t>Structures, processes, and accountability mechanisms for oversight and decision authority</w:t>
            </w:r>
          </w:p>
        </w:tc>
      </w:tr>
    </w:tbl>
    <w:p>
      <w:pPr>
        <w:spacing w:after="80"/>
      </w:pPr>
    </w:p>
    <w:p>
      <w:pPr>
        <w:pBdr>
          <w:bottom w:val="single" w:sz="6" w:space="1" w:color="AAAAAA"/>
        </w:pBdr>
        <w:spacing w:before="0" w:after="0"/>
        <w:jc w:val="both"/>
      </w:pPr>
    </w:p>
    <w:p>
      <w:pPr>
        <w:spacing w:before="0" w:after="100"/>
        <w:ind w:firstLine="0"/>
        <w:jc w:val="both"/>
      </w:pPr>
      <w:r>
        <w:rPr>
          <w:rFonts w:ascii="Times New Roman" w:hAnsi="Times New Roman"/>
          <w:b w:val="0"/>
          <w:i w:val="0"/>
          <w:caps w:val="0"/>
          <w:sz w:val="22"/>
        </w:rPr>
        <w:t>*Supplement prepared by: Akshay Kumar | ITEC-617 | Kogod School of Business, American University | Spring 2026*</w:t>
      </w:r>
    </w:p>
    <w:p>
      <w:pPr>
        <w:spacing w:before="0" w:after="100"/>
        <w:ind w:firstLine="0"/>
        <w:jc w:val="both"/>
      </w:pPr>
      <w:r>
        <w:rPr>
          <w:rFonts w:ascii="Times New Roman" w:hAnsi="Times New Roman"/>
          <w:b w:val="0"/>
          <w:i w:val="0"/>
          <w:caps w:val="0"/>
          <w:sz w:val="22"/>
        </w:rPr>
        <w:t>*AI Tool: Claude Code (claude-sonnet-4-6) | Research date: April 26, 2026*</w:t>
      </w:r>
    </w:p>
    <w:p>
      <w:pPr>
        <w:spacing w:before="0" w:after="100"/>
        <w:ind w:firstLine="0"/>
        <w:jc w:val="both"/>
      </w:pPr>
      <w:r>
        <w:rPr>
          <w:rFonts w:ascii="Times New Roman" w:hAnsi="Times New Roman"/>
          <w:b w:val="0"/>
          <w:i w:val="0"/>
          <w:caps w:val="0"/>
          <w:sz w:val="22"/>
        </w:rPr>
        <w:t>*All factual claims are sourced from publicly verified materials. Source tiers (T1/T2/T3) are indicated in body text where applicable. Market projections sourced from industry reports; cite original reports in any formal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