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Performance Analysis</w:t>
      </w:r>
    </w:p>
    <w:p>
      <w:pPr>
        <w:pStyle w:val="Subtitle"/>
      </w:pPr>
      <w:r>
        <w:t>Retrieval, reranking, and contradiction evaluation</w:t>
      </w:r>
    </w:p>
    <w:p>
      <w:r>
        <w:t>Prepared as a take-home assessment deliverable.</w:t>
      </w:r>
    </w:p>
    <w:p/>
    <w:p>
      <w:pPr>
        <w:pStyle w:val="Heading1"/>
      </w:pPr>
      <w:r>
        <w:t>Evaluation Scope</w:t>
      </w:r>
    </w:p>
    <w:p>
      <w:r>
        <w:t>I evaluated the system with a small seeded benchmark designed to cover the assignment requirements and catch regressions. The benchmark is not meant to prove production-grade retrieval quality, but it does verify that the implemented strategies work on the assessment corpus.</w:t>
      </w:r>
    </w:p>
    <w:p>
      <w:pPr>
        <w:pStyle w:val="Heading1"/>
      </w:pPr>
      <w:r>
        <w:t>Summary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query_count</w:t>
            </w:r>
          </w:p>
        </w:tc>
        <w:tc>
          <w:tcPr>
            <w:tcW w:type="dxa" w:w="5040"/>
          </w:tcPr>
          <w:p>
            <w:r>
              <w:t>12</w:t>
            </w:r>
          </w:p>
        </w:tc>
      </w:tr>
      <w:tr>
        <w:tc>
          <w:tcPr>
            <w:tcW w:type="dxa" w:w="5040"/>
          </w:tcPr>
          <w:p>
            <w:r>
              <w:t>retrieval_hit_rate_at_5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rerank_hit_rate_at_5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retrieval_mrr_at_5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rerank_mrr_at_5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contradiction_accuracy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preferred_source_top_rate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avg_source_diversity_top5</w:t>
            </w:r>
          </w:p>
        </w:tc>
        <w:tc>
          <w:tcPr>
            <w:tcW w:type="dxa" w:w="5040"/>
          </w:tcPr>
          <w:p>
            <w:r>
              <w:t>2.5</w:t>
            </w:r>
          </w:p>
        </w:tc>
      </w:tr>
      <w:tr>
        <w:tc>
          <w:tcPr>
            <w:tcW w:type="dxa" w:w="5040"/>
          </w:tcPr>
          <w:p>
            <w:r>
              <w:t>avg_source_id_diversity_top5</w:t>
            </w:r>
          </w:p>
        </w:tc>
        <w:tc>
          <w:tcPr>
            <w:tcW w:type="dxa" w:w="5040"/>
          </w:tcPr>
          <w:p>
            <w:r>
              <w:t>3.167</w:t>
            </w:r>
          </w:p>
        </w:tc>
      </w:tr>
    </w:tbl>
    <w:p>
      <w:pPr>
        <w:pStyle w:val="Heading1"/>
      </w:pPr>
      <w:r>
        <w:t>How I Interpret The Results</w:t>
      </w:r>
    </w:p>
    <w:p>
      <w:pPr>
        <w:pStyle w:val="ListBullet"/>
      </w:pPr>
      <w:r>
        <w:t>Retrieval hit rate at 5 checks whether expected evidence appears in the initial top results.</w:t>
      </w:r>
    </w:p>
    <w:p>
      <w:pPr>
        <w:pStyle w:val="ListBullet"/>
      </w:pPr>
      <w:r>
        <w:t>Rerank MRR checks whether reranking moves the expected evidence toward the top.</w:t>
      </w:r>
    </w:p>
    <w:p>
      <w:pPr>
        <w:pStyle w:val="ListBullet"/>
      </w:pPr>
      <w:r>
        <w:t>Contradiction accuracy checks whether expected conflicts are found and unrelated false positives are avoided.</w:t>
      </w:r>
    </w:p>
    <w:p>
      <w:pPr>
        <w:pStyle w:val="ListBullet"/>
      </w:pPr>
      <w:r>
        <w:t>Preferred-source top rate checks whether the most authoritative expected source wins the top reranked position.</w:t>
      </w:r>
    </w:p>
    <w:p>
      <w:pPr>
        <w:pStyle w:val="ListBullet"/>
      </w:pPr>
      <w:r>
        <w:t>Source diversity and source-id diversity check whether the system avoids relying on only one source family or one repeated thread.</w:t>
      </w:r>
    </w:p>
    <w:p>
      <w:pPr>
        <w:pStyle w:val="Heading1"/>
      </w:pPr>
      <w:r>
        <w:t>Current Result</w:t>
      </w:r>
    </w:p>
    <w:p>
      <w:r>
        <w:t>The current benchmark contains 12 queries. Retrieval and reranking hit rates are 1.0 and 1.0, respectively. Contradiction accuracy is 1.0, and preferred-source top rate is 1.0.</w:t>
      </w:r>
    </w:p>
    <w:p>
      <w:pPr>
        <w:pStyle w:val="Heading1"/>
      </w:pPr>
      <w:r>
        <w:t>Reranking Strategy</w:t>
      </w:r>
    </w:p>
    <w:p>
      <w:r>
        <w:t>The reranker improved relevance by combining baseline similarity with domain-specific support signals. I gave documentation the strongest authority prior, boosted accepted forum answers and support-engineer replies when relevant, and added release-note intent signals for current-version questions.</w:t>
      </w:r>
    </w:p>
    <w:p>
      <w:pPr>
        <w:pStyle w:val="Heading1"/>
      </w:pPr>
      <w:r>
        <w:t>Limitations</w:t>
      </w:r>
    </w:p>
    <w:p>
      <w:pPr>
        <w:pStyle w:val="ListBullet"/>
      </w:pPr>
      <w:r>
        <w:t>The data set is small and fictional.</w:t>
      </w:r>
    </w:p>
    <w:p>
      <w:pPr>
        <w:pStyle w:val="ListBullet"/>
      </w:pPr>
      <w:r>
        <w:t>Queries are assessment-focused and should be expanded before production use.</w:t>
      </w:r>
    </w:p>
    <w:p>
      <w:pPr>
        <w:pStyle w:val="ListBullet"/>
      </w:pPr>
      <w:r>
        <w:t>Structured contradiction claims make this robust for the demo but do not replace full automatic claim extraction.</w:t>
      </w:r>
    </w:p>
    <w:p>
      <w:pPr>
        <w:pStyle w:val="ListBullet"/>
      </w:pPr>
      <w:r>
        <w:t>Generated example responses may use the deterministic fallback when network access is unavailable.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Menlo" w:hAnsi="Menlo" w:eastAsia="Menl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