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357C" w14:textId="77777777" w:rsidR="00814675" w:rsidRPr="00B84AB2" w:rsidRDefault="00814675" w:rsidP="00814675">
      <w:pPr>
        <w:spacing w:line="480" w:lineRule="auto"/>
        <w:rPr>
          <w:rFonts w:ascii="Times New Roman" w:hAnsi="Times New Roman" w:cs="Times New Roman"/>
        </w:rPr>
      </w:pPr>
    </w:p>
    <w:tbl>
      <w:tblPr>
        <w:tblW w:w="939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23"/>
        <w:gridCol w:w="1317"/>
        <w:gridCol w:w="1435"/>
        <w:gridCol w:w="1317"/>
      </w:tblGrid>
      <w:tr w:rsidR="00814675" w:rsidRPr="00B84AB2" w14:paraId="1EB18316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48881A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Operation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9A0DCF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Line Cost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10992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# Times Executes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D0A75D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</w:tr>
      <w:tr w:rsidR="00814675" w:rsidRPr="00B84AB2" w14:paraId="1322DE13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AFEB6D7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Vector - Milestone 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91366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9F9DC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8634389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14675" w:rsidRPr="00B84AB2" w14:paraId="1876F205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BAE49C2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all courses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505C90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FBC5E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E4BEC2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7FE2D15E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2F5F9E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the course is the same as </w:t>
            </w:r>
            <w:proofErr w:type="spellStart"/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courseNumber</w:t>
            </w:r>
            <w:proofErr w:type="spellEnd"/>
          </w:p>
        </w:tc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73F3E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60FE5F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3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0B5C5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4A5C6950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6F9D6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each prerequisite of the course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2B55CB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87186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C0D29B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814675" w:rsidRPr="00B84AB2" w14:paraId="515BF73E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40F635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each prerequisite of the course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32286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45708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FBCFB4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6B56C856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028F0F8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print the prerequisite course information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DB14611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24D9CA34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22EE011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46C90AE7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7B50751D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9CCB3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ECFEA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A1AF22B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4n + 1</w:t>
            </w:r>
          </w:p>
        </w:tc>
      </w:tr>
      <w:tr w:rsidR="00814675" w:rsidRPr="00B84AB2" w14:paraId="5234A863" w14:textId="77777777" w:rsidTr="00291B05">
        <w:trPr>
          <w:trHeight w:val="269"/>
        </w:trPr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B40AFF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Runtime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16B29F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0CF83BC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FD9472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492CC90A" w14:textId="77777777" w:rsidR="00814675" w:rsidRPr="00B84AB2" w:rsidRDefault="00814675" w:rsidP="00814675">
      <w:pPr>
        <w:spacing w:line="480" w:lineRule="auto"/>
        <w:rPr>
          <w:rFonts w:ascii="Times New Roman" w:hAnsi="Times New Roman" w:cs="Times New Roman"/>
        </w:rPr>
      </w:pPr>
    </w:p>
    <w:tbl>
      <w:tblPr>
        <w:tblW w:w="913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144"/>
        <w:gridCol w:w="1292"/>
        <w:gridCol w:w="1408"/>
        <w:gridCol w:w="1292"/>
      </w:tblGrid>
      <w:tr w:rsidR="00814675" w:rsidRPr="00B84AB2" w14:paraId="3AA18333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6294DC3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Operation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991679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Line Cost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FFD142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# Times Executes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0BBEC0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</w:tr>
      <w:tr w:rsidR="00814675" w:rsidRPr="00B84AB2" w14:paraId="6786DE94" w14:textId="77777777" w:rsidTr="00291B05">
        <w:trPr>
          <w:trHeight w:val="263"/>
        </w:trPr>
        <w:tc>
          <w:tcPr>
            <w:tcW w:w="51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32FEE3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Hash Table - Milestone 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693B14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C6EB1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3FF6307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14675" w:rsidRPr="00B84AB2" w14:paraId="20CB0F50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15C834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all courses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AE5712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4F21C1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CEEF9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12E3F10A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172929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the course is in the hash table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92CD1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D35C07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7E3C80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729C1552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A2CDE5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insert into hash table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C1AC0B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F22AB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5E8189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0F36CA42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EADF9A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each prerequisite of the course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90F7A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7A94C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AB0DA1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814675" w:rsidRPr="00B84AB2" w14:paraId="66A67AA8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3FA07B0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print the prerequisite course information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6A05D03D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C12A42D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72314163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22D521D4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1BBC7D70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4F593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DD19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038F12E9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4n + 1</w:t>
            </w:r>
          </w:p>
        </w:tc>
      </w:tr>
      <w:tr w:rsidR="00814675" w:rsidRPr="00B84AB2" w14:paraId="08ACE9A4" w14:textId="77777777" w:rsidTr="00291B05">
        <w:trPr>
          <w:trHeight w:val="263"/>
        </w:trPr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57F89CC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Runtime</w:t>
            </w: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D63165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C31EB2B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17DE03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6C8BF62B" w14:textId="77777777" w:rsidR="00814675" w:rsidRPr="00B84AB2" w:rsidRDefault="00814675" w:rsidP="00814675">
      <w:pPr>
        <w:spacing w:line="480" w:lineRule="auto"/>
        <w:rPr>
          <w:rFonts w:ascii="Times New Roman" w:hAnsi="Times New Roman" w:cs="Times New Roman"/>
        </w:rPr>
      </w:pPr>
    </w:p>
    <w:tbl>
      <w:tblPr>
        <w:tblW w:w="908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476"/>
        <w:gridCol w:w="1206"/>
        <w:gridCol w:w="1315"/>
        <w:gridCol w:w="2086"/>
      </w:tblGrid>
      <w:tr w:rsidR="00814675" w:rsidRPr="00B84AB2" w14:paraId="4CFD5E8A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06FB54C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Operation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8B112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Line Cost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1EF31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# Times Executes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61A4D5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</w:tr>
      <w:tr w:rsidR="00814675" w:rsidRPr="00B84AB2" w14:paraId="21D93C35" w14:textId="77777777" w:rsidTr="00291B05">
        <w:trPr>
          <w:trHeight w:val="286"/>
        </w:trPr>
        <w:tc>
          <w:tcPr>
            <w:tcW w:w="4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20A1D6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Binary Search Tree - Milestone 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D5015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5F817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3AB689E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814675" w:rsidRPr="00B84AB2" w14:paraId="4CBABA3E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E789AF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all courses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99BC8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2DC4A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29DAC6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4741624C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87ADF9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insert into BST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29EDF2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log(n)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9A1123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905CB6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n*log(n)</w:t>
            </w:r>
          </w:p>
        </w:tc>
      </w:tr>
      <w:tr w:rsidR="00814675" w:rsidRPr="00B84AB2" w14:paraId="0F3F22D8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64CF95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 each prerequisite of the course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7C5607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FD2EA6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F3638E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814675" w:rsidRPr="00B84AB2" w14:paraId="6751F20F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286D4C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search the prerequisite in BST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F5B243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log(n)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C469E9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200AFB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n*log(n)</w:t>
            </w:r>
          </w:p>
        </w:tc>
      </w:tr>
      <w:tr w:rsidR="00814675" w:rsidRPr="00B84AB2" w14:paraId="4719A036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4DC0101A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print the prerequisite course information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5C368970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3437F48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F76AEB8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</w:tr>
      <w:tr w:rsidR="00814675" w:rsidRPr="00B84AB2" w14:paraId="3053751B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bottom"/>
            <w:hideMark/>
          </w:tcPr>
          <w:p w14:paraId="3D240984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Cost</w:t>
            </w: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8DD4E3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CCA54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14:paraId="375AC565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n*log(n) + 2n + 1</w:t>
            </w:r>
          </w:p>
        </w:tc>
      </w:tr>
      <w:tr w:rsidR="00814675" w:rsidRPr="00B84AB2" w14:paraId="7EDCA868" w14:textId="77777777" w:rsidTr="00291B05">
        <w:trPr>
          <w:trHeight w:val="286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CC0563E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Runtime</w:t>
            </w: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B93C4C" w14:textId="77777777" w:rsidR="00814675" w:rsidRPr="00B84AB2" w:rsidRDefault="00814675" w:rsidP="00291B0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24B1D27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AA506F" w14:textId="77777777" w:rsidR="00814675" w:rsidRPr="00B84AB2" w:rsidRDefault="00814675" w:rsidP="00291B0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84A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O(n)</w:t>
            </w:r>
          </w:p>
        </w:tc>
      </w:tr>
    </w:tbl>
    <w:p w14:paraId="7235A82C" w14:textId="77777777" w:rsidR="00814675" w:rsidRPr="00B84AB2" w:rsidRDefault="00814675" w:rsidP="00814675">
      <w:pPr>
        <w:spacing w:line="480" w:lineRule="auto"/>
        <w:rPr>
          <w:rFonts w:ascii="Times New Roman" w:hAnsi="Times New Roman" w:cs="Times New Roman"/>
        </w:rPr>
      </w:pPr>
    </w:p>
    <w:p w14:paraId="0F818CB5" w14:textId="77777777" w:rsidR="00814675" w:rsidRPr="00B84AB2" w:rsidRDefault="00814675" w:rsidP="00814675">
      <w:pPr>
        <w:spacing w:line="480" w:lineRule="auto"/>
        <w:rPr>
          <w:rFonts w:ascii="Times New Roman" w:hAnsi="Times New Roman" w:cs="Times New Roman"/>
        </w:rPr>
      </w:pPr>
    </w:p>
    <w:p w14:paraId="77FFC4CE" w14:textId="77777777" w:rsidR="00814675" w:rsidRPr="00B84AB2" w:rsidRDefault="00814675" w:rsidP="00814675">
      <w:pPr>
        <w:spacing w:line="480" w:lineRule="auto"/>
        <w:ind w:firstLine="720"/>
        <w:rPr>
          <w:rFonts w:ascii="Times New Roman" w:hAnsi="Times New Roman" w:cs="Times New Roman"/>
        </w:rPr>
      </w:pPr>
      <w:r w:rsidRPr="00B84AB2">
        <w:rPr>
          <w:rFonts w:ascii="Times New Roman" w:hAnsi="Times New Roman" w:cs="Times New Roman"/>
        </w:rPr>
        <w:t xml:space="preserve">Based on the analysis, it is recommended </w:t>
      </w:r>
      <w:r>
        <w:rPr>
          <w:rFonts w:ascii="Times New Roman" w:hAnsi="Times New Roman" w:cs="Times New Roman"/>
        </w:rPr>
        <w:t xml:space="preserve">that a Hash Table should be used </w:t>
      </w:r>
      <w:r w:rsidRPr="00B84AB2">
        <w:rPr>
          <w:rFonts w:ascii="Times New Roman" w:hAnsi="Times New Roman" w:cs="Times New Roman"/>
        </w:rPr>
        <w:t xml:space="preserve">for the advising program. It offers fast </w:t>
      </w:r>
      <w:proofErr w:type="gramStart"/>
      <w:r w:rsidRPr="00B84AB2">
        <w:rPr>
          <w:rFonts w:ascii="Times New Roman" w:hAnsi="Times New Roman" w:cs="Times New Roman"/>
        </w:rPr>
        <w:t>O(</w:t>
      </w:r>
      <w:proofErr w:type="gramEnd"/>
      <w:r w:rsidRPr="00B84AB2">
        <w:rPr>
          <w:rFonts w:ascii="Times New Roman" w:hAnsi="Times New Roman" w:cs="Times New Roman"/>
        </w:rPr>
        <w:t xml:space="preserve">1) time complexity for search, insertion, and deletion operations, making it crucial for quickly retrieving course information and handling large datasets. Hash tables are well-suited for this purpose, as they are simple, efficient, and scalable. Although collisions may occur, these </w:t>
      </w:r>
      <w:r>
        <w:rPr>
          <w:rFonts w:ascii="Times New Roman" w:hAnsi="Times New Roman" w:cs="Times New Roman"/>
        </w:rPr>
        <w:t>disadvantages</w:t>
      </w:r>
      <w:r w:rsidRPr="00B84AB2">
        <w:rPr>
          <w:rFonts w:ascii="Times New Roman" w:hAnsi="Times New Roman" w:cs="Times New Roman"/>
        </w:rPr>
        <w:t xml:space="preserve"> can be minimized with a well-designed hash function and suitable </w:t>
      </w:r>
      <w:r>
        <w:rPr>
          <w:rFonts w:ascii="Times New Roman" w:hAnsi="Times New Roman" w:cs="Times New Roman"/>
        </w:rPr>
        <w:t>collision-handling</w:t>
      </w:r>
      <w:r w:rsidRPr="00B84AB2">
        <w:rPr>
          <w:rFonts w:ascii="Times New Roman" w:hAnsi="Times New Roman" w:cs="Times New Roman"/>
        </w:rPr>
        <w:t xml:space="preserve"> techniques. The hash table is preferred over a binary search tree (BST) due to its average-case efficiency and ease of implementation</w:t>
      </w:r>
      <w:r>
        <w:rPr>
          <w:rFonts w:ascii="Times New Roman" w:hAnsi="Times New Roman" w:cs="Times New Roman"/>
        </w:rPr>
        <w:t>. It is</w:t>
      </w:r>
      <w:r w:rsidRPr="00B84AB2">
        <w:rPr>
          <w:rFonts w:ascii="Times New Roman" w:hAnsi="Times New Roman" w:cs="Times New Roman"/>
        </w:rPr>
        <w:t xml:space="preserve"> the optimal data structure for the advising program, balancing speed, simplicity, and scalability.</w:t>
      </w:r>
    </w:p>
    <w:p w14:paraId="362B70E4" w14:textId="77777777" w:rsidR="00A626A0" w:rsidRDefault="00A626A0"/>
    <w:sectPr w:rsidR="00A626A0" w:rsidSect="0081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5"/>
    <w:rsid w:val="004665E4"/>
    <w:rsid w:val="007D346B"/>
    <w:rsid w:val="00814675"/>
    <w:rsid w:val="00883DD1"/>
    <w:rsid w:val="00A6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A3CC"/>
  <w15:chartTrackingRefBased/>
  <w15:docId w15:val="{84692862-C34A-473E-A983-21EBE3FD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75"/>
  </w:style>
  <w:style w:type="paragraph" w:styleId="Heading1">
    <w:name w:val="heading 1"/>
    <w:basedOn w:val="Normal"/>
    <w:next w:val="Normal"/>
    <w:link w:val="Heading1Char"/>
    <w:uiPriority w:val="9"/>
    <w:qFormat/>
    <w:rsid w:val="0081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Aspen Blue Koreny-Crawford</dc:creator>
  <cp:keywords/>
  <dc:description/>
  <cp:lastModifiedBy>Aspen Blue Koreny-Crawford</cp:lastModifiedBy>
  <cp:revision>2</cp:revision>
  <dcterms:created xsi:type="dcterms:W3CDTF">2024-08-26T02:49:00Z</dcterms:created>
  <dcterms:modified xsi:type="dcterms:W3CDTF">2024-08-26T02:52:00Z</dcterms:modified>
</cp:coreProperties>
</file>