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B365" w14:textId="4F0A443E" w:rsidR="00E47E70" w:rsidRDefault="007E6ED9" w:rsidP="007E6ED9">
      <w:pPr>
        <w:ind w:left="1440" w:firstLine="720"/>
        <w:rPr>
          <w:b/>
          <w:bCs/>
        </w:rPr>
      </w:pPr>
      <w:r w:rsidRPr="007E6ED9">
        <w:rPr>
          <w:b/>
          <w:bCs/>
        </w:rPr>
        <w:t>Assignment Report for k-Means Clustering</w:t>
      </w:r>
    </w:p>
    <w:p w14:paraId="68139935" w14:textId="52E967F6" w:rsidR="007E6ED9" w:rsidRDefault="007E6ED9" w:rsidP="007E6ED9">
      <w:pPr>
        <w:rPr>
          <w:b/>
          <w:bCs/>
        </w:rPr>
      </w:pPr>
    </w:p>
    <w:p w14:paraId="41501680" w14:textId="7CE04BF2" w:rsidR="00C07FBE" w:rsidRDefault="00EC2464" w:rsidP="00C07FBE">
      <w:pPr>
        <w:ind w:firstLine="720"/>
      </w:pPr>
      <w:r>
        <w:t>This report presents my findings from k-means clustering analysis on dataset that consists amino acid contents of proteomes of pr</w:t>
      </w:r>
      <w:r w:rsidRPr="00EC2464">
        <w:t>okaryotic genomes</w:t>
      </w:r>
      <w:r>
        <w:t xml:space="preserve">. C++ implementation of k-means clustering was made for this analysis. Clustering program was run with different k’s from 1 to 10. For each k </w:t>
      </w:r>
      <w:r w:rsidRPr="00EC2464">
        <w:t>within cluster sum of squares (WCSS), the Akaike information criterion (AIC)</w:t>
      </w:r>
      <w:r>
        <w:t xml:space="preserve"> and </w:t>
      </w:r>
      <w:r w:rsidRPr="00EC2464">
        <w:t>the Bayesian information criterion (BIC) results</w:t>
      </w:r>
      <w:r>
        <w:t xml:space="preserve"> were calculated. Figure 1 shows those results for each k. These results showed that while </w:t>
      </w:r>
      <w:r w:rsidRPr="00EC2464">
        <w:t>WCSS</w:t>
      </w:r>
      <w:r>
        <w:t xml:space="preserve"> decreases while k increases. For BIC and AIC, the situation is different. BIC results showed more like an elbow shaped trend. </w:t>
      </w:r>
      <w:r w:rsidR="00C07FBE">
        <w:t xml:space="preserve">It was expected for BIC and </w:t>
      </w:r>
      <w:proofErr w:type="gramStart"/>
      <w:r w:rsidR="00C07FBE">
        <w:t>WCSS</w:t>
      </w:r>
      <w:proofErr w:type="gramEnd"/>
      <w:r w:rsidR="00C07FBE">
        <w:t xml:space="preserve"> but AIC results only started to increase again after k=6. It has been also observed that </w:t>
      </w:r>
      <w:r w:rsidR="00790279">
        <w:t xml:space="preserve">even though overall trend was as expected, </w:t>
      </w:r>
      <w:r w:rsidR="00C07FBE">
        <w:t xml:space="preserve">there </w:t>
      </w:r>
      <w:r w:rsidR="00790279">
        <w:t xml:space="preserve">were </w:t>
      </w:r>
      <w:r w:rsidR="00C07FBE">
        <w:t>some unexpected peaks as you can see in the Figure 1. It’s my assumption that it was because my program w</w:t>
      </w:r>
      <w:r w:rsidR="00B37E91">
        <w:t>as</w:t>
      </w:r>
      <w:r w:rsidR="00C07FBE">
        <w:t xml:space="preserve"> not be able to choose the best centroids when it’s iterating or it’s not getting the minimum WCSS when it is iterating through different k’s.</w:t>
      </w:r>
    </w:p>
    <w:p w14:paraId="097C243D" w14:textId="41225CFB" w:rsidR="00C07FBE" w:rsidRPr="00EC2464" w:rsidRDefault="00C07FBE" w:rsidP="00EC2464">
      <w:r>
        <w:tab/>
        <w:t>Second, it has also been observed that while k is increasing species tends to cluster together. I wasn’t be able to observe that GC content is affecting the clustering results.</w:t>
      </w:r>
      <w:r w:rsidR="00D6105D">
        <w:t xml:space="preserve"> </w:t>
      </w:r>
      <w:r w:rsidR="0008561E">
        <w:t xml:space="preserve">It has been observed that genomes from same </w:t>
      </w:r>
      <w:r w:rsidR="00F64531">
        <w:t xml:space="preserve">families </w:t>
      </w:r>
      <w:proofErr w:type="gramStart"/>
      <w:r w:rsidR="0008561E">
        <w:t>were also tend</w:t>
      </w:r>
      <w:proofErr w:type="gramEnd"/>
      <w:r w:rsidR="0008561E">
        <w:t xml:space="preserve"> to cluster together, for example </w:t>
      </w:r>
      <w:proofErr w:type="spellStart"/>
      <w:r w:rsidR="0008561E">
        <w:t>Shewanella</w:t>
      </w:r>
      <w:proofErr w:type="spellEnd"/>
      <w:r w:rsidR="0008561E">
        <w:t xml:space="preserve"> and </w:t>
      </w:r>
      <w:proofErr w:type="spellStart"/>
      <w:r w:rsidR="0008561E">
        <w:t>Halobacteria</w:t>
      </w:r>
      <w:proofErr w:type="spellEnd"/>
      <w:r w:rsidR="0008561E">
        <w:t>.</w:t>
      </w:r>
      <w:r w:rsidR="00F838D3">
        <w:t xml:space="preserve"> The results also showed that genomes with higher optimal growth temperature were clustered together.</w:t>
      </w:r>
      <w:bookmarkStart w:id="0" w:name="_GoBack"/>
      <w:bookmarkEnd w:id="0"/>
    </w:p>
    <w:p w14:paraId="6FD1FE9E" w14:textId="3C0888A0" w:rsidR="00266CBF" w:rsidRDefault="00266CBF"/>
    <w:p w14:paraId="2E6E4615" w14:textId="77777777" w:rsidR="00EC2464" w:rsidRDefault="00EC2464"/>
    <w:p w14:paraId="6AD96F22" w14:textId="59AF4AF6" w:rsidR="00CE444D" w:rsidRDefault="00CE444D"/>
    <w:p w14:paraId="1BB6AB27" w14:textId="1985F9E9" w:rsidR="00CE444D" w:rsidRDefault="00E47E70">
      <w:r>
        <w:rPr>
          <w:noProof/>
        </w:rPr>
        <w:drawing>
          <wp:inline distT="0" distB="0" distL="0" distR="0" wp14:anchorId="43D11AEA" wp14:editId="42D61D10">
            <wp:extent cx="6215974" cy="3511685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380C1-5907-5E46-A6E7-287CE46432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6ADBCA" w14:textId="1CC9F534" w:rsidR="00E47E70" w:rsidRPr="00E816BC" w:rsidRDefault="007E6ED9">
      <w:r w:rsidRPr="007E6ED9">
        <w:rPr>
          <w:b/>
          <w:bCs/>
        </w:rPr>
        <w:t xml:space="preserve">Figure1. </w:t>
      </w:r>
      <w:r w:rsidR="00E816BC">
        <w:t>This figure shows w</w:t>
      </w:r>
      <w:r w:rsidR="00E816BC" w:rsidRPr="00E816BC">
        <w:t>ithin cluster sum of squares (WCSS)</w:t>
      </w:r>
      <w:r w:rsidR="00E816BC">
        <w:t>, t</w:t>
      </w:r>
      <w:r w:rsidR="00E816BC" w:rsidRPr="00E816BC">
        <w:t>he Akaike information criterion (AIC)</w:t>
      </w:r>
      <w:r w:rsidR="00E816BC">
        <w:t xml:space="preserve">, </w:t>
      </w:r>
      <w:r w:rsidR="00E816BC" w:rsidRPr="00E816BC">
        <w:t>the Bayesian information criterion (BIC)</w:t>
      </w:r>
      <w:r w:rsidR="00E816BC">
        <w:t xml:space="preserve"> results for each k from k-means clustering results of Bacteria + </w:t>
      </w:r>
      <w:proofErr w:type="spellStart"/>
      <w:r w:rsidR="00E816BC">
        <w:t>Archea</w:t>
      </w:r>
      <w:proofErr w:type="spellEnd"/>
      <w:r w:rsidR="00E816BC">
        <w:t xml:space="preserve"> data.</w:t>
      </w:r>
    </w:p>
    <w:p w14:paraId="5C9EC5C3" w14:textId="5215A0AE" w:rsidR="00E47E70" w:rsidRDefault="00E47E70"/>
    <w:p w14:paraId="22C2210F" w14:textId="2104FFC4" w:rsidR="00E47E70" w:rsidRPr="007E6ED9" w:rsidRDefault="00E47E70">
      <w:pPr>
        <w:rPr>
          <w:b/>
          <w:bCs/>
        </w:rPr>
      </w:pPr>
    </w:p>
    <w:tbl>
      <w:tblPr>
        <w:tblpPr w:leftFromText="180" w:rightFromText="180" w:vertAnchor="text" w:horzAnchor="margin" w:tblpY="-23"/>
        <w:tblW w:w="9888" w:type="dxa"/>
        <w:tblLook w:val="05A0" w:firstRow="1" w:lastRow="0" w:firstColumn="1" w:lastColumn="1" w:noHBand="0" w:noVBand="1"/>
      </w:tblPr>
      <w:tblGrid>
        <w:gridCol w:w="2472"/>
        <w:gridCol w:w="2472"/>
        <w:gridCol w:w="2472"/>
        <w:gridCol w:w="2472"/>
      </w:tblGrid>
      <w:tr w:rsidR="007E6ED9" w:rsidRPr="00266CBF" w14:paraId="21A36E3D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2BD5BF" w14:textId="77777777" w:rsidR="007E6ED9" w:rsidRPr="00266CBF" w:rsidRDefault="007E6ED9" w:rsidP="007E6ED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6CBF">
              <w:rPr>
                <w:rFonts w:ascii="Calibri" w:eastAsia="Times New Roman" w:hAnsi="Calibri" w:cs="Calibri"/>
                <w:b/>
                <w:bCs/>
                <w:color w:val="FFFFFF"/>
              </w:rPr>
              <w:t>k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B3BC7B" w14:textId="77777777" w:rsidR="007E6ED9" w:rsidRPr="00266CBF" w:rsidRDefault="007E6ED9" w:rsidP="007E6ED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6CBF">
              <w:rPr>
                <w:rFonts w:ascii="Calibri" w:eastAsia="Times New Roman" w:hAnsi="Calibri" w:cs="Calibri"/>
                <w:b/>
                <w:bCs/>
                <w:color w:val="FFFFFF"/>
              </w:rPr>
              <w:t>WCSS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528815" w14:textId="77777777" w:rsidR="007E6ED9" w:rsidRPr="00266CBF" w:rsidRDefault="007E6ED9" w:rsidP="007E6ED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6CBF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AIC       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C3B7FD2" w14:textId="77777777" w:rsidR="007E6ED9" w:rsidRPr="00266CBF" w:rsidRDefault="007E6ED9" w:rsidP="007E6ED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6CBF">
              <w:rPr>
                <w:rFonts w:ascii="Calibri" w:eastAsia="Times New Roman" w:hAnsi="Calibri" w:cs="Calibri"/>
                <w:b/>
                <w:bCs/>
                <w:color w:val="FFFFFF"/>
              </w:rPr>
              <w:t>BIC</w:t>
            </w:r>
          </w:p>
        </w:tc>
      </w:tr>
      <w:tr w:rsidR="007E6ED9" w:rsidRPr="00266CBF" w14:paraId="0461952B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8D090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1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5D2D8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67A98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2640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B9CFB1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2757.27</w:t>
            </w:r>
          </w:p>
        </w:tc>
      </w:tr>
      <w:tr w:rsidR="007E6ED9" w:rsidRPr="00266CBF" w14:paraId="5D038BC0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43A42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BD32F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1606.91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1B0C6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1686.91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A7A21F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1921.44</w:t>
            </w:r>
          </w:p>
        </w:tc>
      </w:tr>
      <w:tr w:rsidR="007E6ED9" w:rsidRPr="00266CBF" w14:paraId="29C6E1FB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534C4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3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63240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1342.92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27C39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1462.92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344850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1814.72</w:t>
            </w:r>
          </w:p>
        </w:tc>
      </w:tr>
      <w:tr w:rsidR="007E6ED9" w:rsidRPr="00266CBF" w14:paraId="6B9E72B7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D82782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4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09172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1156.42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8BFD9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1316.42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349E01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1785.48</w:t>
            </w:r>
          </w:p>
        </w:tc>
      </w:tr>
      <w:tr w:rsidR="007E6ED9" w:rsidRPr="00266CBF" w14:paraId="3B68B8B9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3B4F7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5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24384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1063.65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50C5A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1263.65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7793AA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1849.98</w:t>
            </w:r>
          </w:p>
        </w:tc>
      </w:tr>
      <w:tr w:rsidR="007E6ED9" w:rsidRPr="00266CBF" w14:paraId="615A8823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3747D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6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8ACBD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914.713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79384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1154.71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D32C63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1858.3</w:t>
            </w:r>
          </w:p>
        </w:tc>
      </w:tr>
      <w:tr w:rsidR="007E6ED9" w:rsidRPr="00266CBF" w14:paraId="0A57E341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58D11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7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A1A3A9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864.106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0661C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1144.11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2A003C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1964.96</w:t>
            </w:r>
          </w:p>
        </w:tc>
      </w:tr>
      <w:tr w:rsidR="007E6ED9" w:rsidRPr="00266CBF" w14:paraId="4A007C25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5E5FD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8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50FA6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835.487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762CFE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1155.49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A8F660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2093.61</w:t>
            </w:r>
          </w:p>
        </w:tc>
      </w:tr>
      <w:tr w:rsidR="007E6ED9" w:rsidRPr="00266CBF" w14:paraId="068CE19F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764EC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9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769A2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812.686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C32A9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1172.69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3049D1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2228.07</w:t>
            </w:r>
          </w:p>
        </w:tc>
      </w:tr>
      <w:tr w:rsidR="007E6ED9" w:rsidRPr="00266CBF" w14:paraId="13B6C8D4" w14:textId="77777777" w:rsidTr="007E6ED9">
        <w:trPr>
          <w:trHeight w:val="397"/>
        </w:trPr>
        <w:tc>
          <w:tcPr>
            <w:tcW w:w="24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84CA1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k= 10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09B58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760.942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47D87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1160.94</w:t>
            </w:r>
          </w:p>
        </w:tc>
        <w:tc>
          <w:tcPr>
            <w:tcW w:w="2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C04F80" w14:textId="77777777" w:rsidR="007E6ED9" w:rsidRPr="00266CBF" w:rsidRDefault="007E6ED9" w:rsidP="007E6ED9">
            <w:pPr>
              <w:rPr>
                <w:rFonts w:ascii="Calibri" w:eastAsia="Times New Roman" w:hAnsi="Calibri" w:cs="Calibri"/>
                <w:color w:val="000000"/>
              </w:rPr>
            </w:pPr>
            <w:r w:rsidRPr="00266CBF">
              <w:rPr>
                <w:rFonts w:ascii="Calibri" w:eastAsia="Times New Roman" w:hAnsi="Calibri" w:cs="Calibri"/>
                <w:color w:val="000000"/>
              </w:rPr>
              <w:t>2333.6</w:t>
            </w:r>
          </w:p>
        </w:tc>
      </w:tr>
    </w:tbl>
    <w:p w14:paraId="74154413" w14:textId="0E4BDBCE" w:rsidR="00E47E70" w:rsidRDefault="00E816BC">
      <w:r>
        <w:rPr>
          <w:b/>
          <w:bCs/>
        </w:rPr>
        <w:t>Table1.</w:t>
      </w:r>
      <w:r>
        <w:t xml:space="preserve"> W</w:t>
      </w:r>
      <w:r w:rsidRPr="00E816BC">
        <w:t>ithin cluster sum of squares (WCSS)</w:t>
      </w:r>
      <w:r>
        <w:t>, t</w:t>
      </w:r>
      <w:r w:rsidRPr="00E816BC">
        <w:t>he Akaike information criterion (AIC)</w:t>
      </w:r>
      <w:r>
        <w:t xml:space="preserve">, </w:t>
      </w:r>
      <w:r w:rsidRPr="00E816BC">
        <w:t>the Bayesian information criterion (BIC)</w:t>
      </w:r>
      <w:r>
        <w:t xml:space="preserve"> results for each k from k-means clustering results of Bacteria + </w:t>
      </w:r>
      <w:proofErr w:type="spellStart"/>
      <w:r>
        <w:t>Archea</w:t>
      </w:r>
      <w:proofErr w:type="spellEnd"/>
      <w:r>
        <w:t xml:space="preserve"> data.</w:t>
      </w:r>
    </w:p>
    <w:p w14:paraId="08D07BC3" w14:textId="1675A2E5" w:rsidR="00E47E70" w:rsidRDefault="00E47E70"/>
    <w:p w14:paraId="39F6EC28" w14:textId="50CE8083" w:rsidR="00E47E70" w:rsidRDefault="00E47E70"/>
    <w:p w14:paraId="1D251475" w14:textId="77777777" w:rsidR="00E47E70" w:rsidRDefault="00E47E70"/>
    <w:p w14:paraId="0AA0F3F9" w14:textId="4A0AF635" w:rsidR="00A54DC0" w:rsidRDefault="00A54DC0"/>
    <w:p w14:paraId="785F9631" w14:textId="77777777" w:rsidR="00E47E70" w:rsidRDefault="00E47E70"/>
    <w:sectPr w:rsidR="00E47E70" w:rsidSect="004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BF"/>
    <w:rsid w:val="0008561E"/>
    <w:rsid w:val="000A08D6"/>
    <w:rsid w:val="00266CBF"/>
    <w:rsid w:val="00403649"/>
    <w:rsid w:val="00790279"/>
    <w:rsid w:val="007E6ED9"/>
    <w:rsid w:val="00A54DC0"/>
    <w:rsid w:val="00B37E91"/>
    <w:rsid w:val="00C07FBE"/>
    <w:rsid w:val="00C37120"/>
    <w:rsid w:val="00CA29F6"/>
    <w:rsid w:val="00CC44A0"/>
    <w:rsid w:val="00CE444D"/>
    <w:rsid w:val="00D6105D"/>
    <w:rsid w:val="00E47E70"/>
    <w:rsid w:val="00E816BC"/>
    <w:rsid w:val="00EC2464"/>
    <w:rsid w:val="00ED5D01"/>
    <w:rsid w:val="00F64531"/>
    <w:rsid w:val="00F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8AB4"/>
  <w15:chartTrackingRefBased/>
  <w15:docId w15:val="{1202B66C-ED7A-2A4B-A1B4-332CBD8A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vanccorut/Desktop/CoursesUGA/fall_2019/BINF_8500/data/kMeansCluster/Bacteria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Bacteria</a:t>
            </a:r>
            <a:r>
              <a:rPr lang="en-US" baseline="0"/>
              <a:t> and Archea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WCSS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k= 1</c:v>
                </c:pt>
                <c:pt idx="1">
                  <c:v>k= 2</c:v>
                </c:pt>
                <c:pt idx="2">
                  <c:v>k= 3</c:v>
                </c:pt>
                <c:pt idx="3">
                  <c:v>k= 4</c:v>
                </c:pt>
                <c:pt idx="4">
                  <c:v>k= 5</c:v>
                </c:pt>
                <c:pt idx="5">
                  <c:v>k= 6</c:v>
                </c:pt>
                <c:pt idx="6">
                  <c:v>k= 7</c:v>
                </c:pt>
                <c:pt idx="7">
                  <c:v>k= 8</c:v>
                </c:pt>
                <c:pt idx="8">
                  <c:v>k= 9</c:v>
                </c:pt>
                <c:pt idx="9">
                  <c:v>k=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2600</c:v>
                </c:pt>
                <c:pt idx="1">
                  <c:v>1606.91</c:v>
                </c:pt>
                <c:pt idx="2">
                  <c:v>1342.92</c:v>
                </c:pt>
                <c:pt idx="3">
                  <c:v>1156.42</c:v>
                </c:pt>
                <c:pt idx="4">
                  <c:v>1063.6500000000001</c:v>
                </c:pt>
                <c:pt idx="5">
                  <c:v>914.71299999999997</c:v>
                </c:pt>
                <c:pt idx="6">
                  <c:v>864.10599999999999</c:v>
                </c:pt>
                <c:pt idx="7">
                  <c:v>835.48699999999997</c:v>
                </c:pt>
                <c:pt idx="8">
                  <c:v>812.68600000000004</c:v>
                </c:pt>
                <c:pt idx="9">
                  <c:v>760.94200000000001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A-7544-8E45-271E7CAAFF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AIC     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k= 1</c:v>
                </c:pt>
                <c:pt idx="1">
                  <c:v>k= 2</c:v>
                </c:pt>
                <c:pt idx="2">
                  <c:v>k= 3</c:v>
                </c:pt>
                <c:pt idx="3">
                  <c:v>k= 4</c:v>
                </c:pt>
                <c:pt idx="4">
                  <c:v>k= 5</c:v>
                </c:pt>
                <c:pt idx="5">
                  <c:v>k= 6</c:v>
                </c:pt>
                <c:pt idx="6">
                  <c:v>k= 7</c:v>
                </c:pt>
                <c:pt idx="7">
                  <c:v>k= 8</c:v>
                </c:pt>
                <c:pt idx="8">
                  <c:v>k= 9</c:v>
                </c:pt>
                <c:pt idx="9">
                  <c:v>k=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2640</c:v>
                </c:pt>
                <c:pt idx="1">
                  <c:v>1686.91</c:v>
                </c:pt>
                <c:pt idx="2">
                  <c:v>1462.92</c:v>
                </c:pt>
                <c:pt idx="3">
                  <c:v>1316.42</c:v>
                </c:pt>
                <c:pt idx="4">
                  <c:v>1263.6500000000001</c:v>
                </c:pt>
                <c:pt idx="5">
                  <c:v>1154.71</c:v>
                </c:pt>
                <c:pt idx="6">
                  <c:v>1144.1099999999999</c:v>
                </c:pt>
                <c:pt idx="7">
                  <c:v>1155.49</c:v>
                </c:pt>
                <c:pt idx="8">
                  <c:v>1172.69</c:v>
                </c:pt>
                <c:pt idx="9">
                  <c:v>1160.94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A-7544-8E45-271E7CAAFF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k= 1</c:v>
                </c:pt>
                <c:pt idx="1">
                  <c:v>k= 2</c:v>
                </c:pt>
                <c:pt idx="2">
                  <c:v>k= 3</c:v>
                </c:pt>
                <c:pt idx="3">
                  <c:v>k= 4</c:v>
                </c:pt>
                <c:pt idx="4">
                  <c:v>k= 5</c:v>
                </c:pt>
                <c:pt idx="5">
                  <c:v>k= 6</c:v>
                </c:pt>
                <c:pt idx="6">
                  <c:v>k= 7</c:v>
                </c:pt>
                <c:pt idx="7">
                  <c:v>k= 8</c:v>
                </c:pt>
                <c:pt idx="8">
                  <c:v>k= 9</c:v>
                </c:pt>
                <c:pt idx="9">
                  <c:v>k=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2757.27</c:v>
                </c:pt>
                <c:pt idx="1">
                  <c:v>1921.44</c:v>
                </c:pt>
                <c:pt idx="2">
                  <c:v>1814.72</c:v>
                </c:pt>
                <c:pt idx="3">
                  <c:v>1785.48</c:v>
                </c:pt>
                <c:pt idx="4">
                  <c:v>1849.98</c:v>
                </c:pt>
                <c:pt idx="5">
                  <c:v>1858.3</c:v>
                </c:pt>
                <c:pt idx="6">
                  <c:v>1964.96</c:v>
                </c:pt>
                <c:pt idx="7">
                  <c:v>2093.61</c:v>
                </c:pt>
                <c:pt idx="8">
                  <c:v>2228.0700000000002</c:v>
                </c:pt>
                <c:pt idx="9">
                  <c:v>2333.6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9A-7544-8E45-271E7CAAF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8880"/>
        <c:axId val="16924608"/>
      </c:lineChart>
      <c:catAx>
        <c:axId val="2048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4608"/>
        <c:crosses val="autoZero"/>
        <c:auto val="1"/>
        <c:lblAlgn val="ctr"/>
        <c:lblOffset val="100"/>
        <c:noMultiLvlLbl val="0"/>
      </c:catAx>
      <c:valAx>
        <c:axId val="1692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9ABDEC-6509-E14C-B484-499D80C6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Kivanc Corut</dc:creator>
  <cp:keywords/>
  <dc:description/>
  <cp:lastModifiedBy>Adnan Kivanc Corut</cp:lastModifiedBy>
  <cp:revision>4</cp:revision>
  <dcterms:created xsi:type="dcterms:W3CDTF">2019-09-27T21:05:00Z</dcterms:created>
  <dcterms:modified xsi:type="dcterms:W3CDTF">2019-09-27T21:10:00Z</dcterms:modified>
</cp:coreProperties>
</file>