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0465" w14:textId="77777777" w:rsidR="00C6376F" w:rsidRDefault="005F311C">
      <w:pPr>
        <w:spacing w:after="100"/>
      </w:pPr>
      <w:r>
        <w:rPr>
          <w:rFonts w:ascii="Segoe UI" w:eastAsia="Segoe UI" w:hAnsi="Segoe UI" w:cs="Segoe UI"/>
          <w:b/>
          <w:bCs/>
          <w:color w:val="00C6C2"/>
          <w:sz w:val="18"/>
          <w:szCs w:val="18"/>
        </w:rPr>
        <w:t xml:space="preserve">HACKATHON </w:t>
      </w:r>
      <w:proofErr w:type="gramStart"/>
      <w:r>
        <w:rPr>
          <w:rFonts w:ascii="Segoe UI" w:eastAsia="Segoe UI" w:hAnsi="Segoe UI" w:cs="Segoe UI"/>
          <w:b/>
          <w:bCs/>
          <w:color w:val="00C6C2"/>
          <w:sz w:val="18"/>
          <w:szCs w:val="18"/>
        </w:rPr>
        <w:t>PRD  v</w:t>
      </w:r>
      <w:proofErr w:type="gramEnd"/>
      <w:r>
        <w:rPr>
          <w:rFonts w:ascii="Segoe UI" w:eastAsia="Segoe UI" w:hAnsi="Segoe UI" w:cs="Segoe UI"/>
          <w:b/>
          <w:bCs/>
          <w:color w:val="00C6C2"/>
          <w:sz w:val="18"/>
          <w:szCs w:val="18"/>
        </w:rPr>
        <w:t>2</w:t>
      </w:r>
      <w:r>
        <w:rPr>
          <w:rFonts w:ascii="Segoe UI" w:eastAsia="Segoe UI" w:hAnsi="Segoe UI" w:cs="Segoe UI"/>
          <w:color w:val="888888"/>
          <w:sz w:val="18"/>
          <w:szCs w:val="18"/>
        </w:rPr>
        <w:t xml:space="preserve">   |   Version 1   |   July 2025   |   CONFIDENTIAL</w:t>
      </w:r>
    </w:p>
    <w:p w14:paraId="436A618B" w14:textId="77777777" w:rsidR="00C6376F" w:rsidRDefault="005F311C">
      <w:pPr>
        <w:spacing w:before="100" w:after="60"/>
      </w:pPr>
      <w:r>
        <w:rPr>
          <w:rFonts w:ascii="Segoe UI" w:eastAsia="Segoe UI" w:hAnsi="Segoe UI" w:cs="Segoe UI"/>
          <w:b/>
          <w:bCs/>
          <w:color w:val="052831"/>
          <w:sz w:val="52"/>
          <w:szCs w:val="52"/>
        </w:rPr>
        <w:t>Release Readiness AI Assistant</w:t>
      </w:r>
    </w:p>
    <w:p w14:paraId="632CFCF1" w14:textId="77777777" w:rsidR="00C6376F" w:rsidRDefault="005F311C">
      <w:pPr>
        <w:spacing w:after="200"/>
      </w:pPr>
      <w:r>
        <w:rPr>
          <w:rFonts w:ascii="Segoe UI" w:eastAsia="Segoe UI" w:hAnsi="Segoe UI" w:cs="Segoe UI"/>
          <w:b/>
          <w:bCs/>
          <w:color w:val="00C6C2"/>
          <w:sz w:val="28"/>
          <w:szCs w:val="28"/>
        </w:rPr>
        <w:t>CAB Approval &amp; Go/No-Go Decision Engine</w:t>
      </w:r>
    </w:p>
    <w:p w14:paraId="4FF09586"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Problem</w:t>
      </w:r>
    </w:p>
    <w:p w14:paraId="5BA505B4" w14:textId="77777777" w:rsidR="00C6376F" w:rsidRDefault="005F311C">
      <w:pPr>
        <w:spacing w:before="60" w:after="60"/>
      </w:pPr>
      <w:r>
        <w:rPr>
          <w:rFonts w:ascii="Arial" w:eastAsia="Arial" w:hAnsi="Arial" w:cs="Arial"/>
          <w:color w:val="052831"/>
          <w:sz w:val="22"/>
          <w:szCs w:val="22"/>
        </w:rPr>
        <w:t xml:space="preserve">Release Coordinators and Release Managers spend 2–4 hours per release manually collating evidence across Jira, GitHub, SonarQube, test results, and Azure Monitor before every CAB review. This fragmented, experience-dependent process allows critical blockers — missing PRs, failed quality gates, and configuration gaps — to slip through, causing production rollbacks that each cost ~1.5–3 hours to recover. As release cadence accelerates and AI-assisted development generates more code changes, manual validation </w:t>
      </w:r>
      <w:r>
        <w:rPr>
          <w:rFonts w:ascii="Arial" w:eastAsia="Arial" w:hAnsi="Arial" w:cs="Arial"/>
          <w:color w:val="052831"/>
          <w:sz w:val="22"/>
          <w:szCs w:val="22"/>
        </w:rPr>
        <w:t>becomes an unsustainable bottleneck and a governance liability.</w:t>
      </w:r>
    </w:p>
    <w:p w14:paraId="64D8A3EE"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Target User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6376F" w14:paraId="222647F2" w14:textId="77777777">
        <w:tblPrEx>
          <w:tblCellMar>
            <w:top w:w="0" w:type="dxa"/>
            <w:bottom w:w="0" w:type="dxa"/>
          </w:tblCellMar>
        </w:tblPrEx>
        <w:tc>
          <w:tcPr>
            <w:tcW w:w="2800" w:type="dxa"/>
            <w:shd w:val="clear" w:color="auto" w:fill="052831"/>
            <w:tcMar>
              <w:top w:w="80" w:type="dxa"/>
              <w:left w:w="100" w:type="dxa"/>
              <w:bottom w:w="80" w:type="dxa"/>
              <w:right w:w="100" w:type="dxa"/>
            </w:tcMar>
            <w:vAlign w:val="center"/>
          </w:tcPr>
          <w:p w14:paraId="6615BD9F" w14:textId="77777777" w:rsidR="00C6376F" w:rsidRDefault="005F311C">
            <w:r>
              <w:rPr>
                <w:rFonts w:ascii="Segoe UI" w:eastAsia="Segoe UI" w:hAnsi="Segoe UI" w:cs="Segoe UI"/>
                <w:b/>
                <w:bCs/>
                <w:color w:val="FFFFFF"/>
              </w:rPr>
              <w:t>Role</w:t>
            </w:r>
          </w:p>
        </w:tc>
        <w:tc>
          <w:tcPr>
            <w:tcW w:w="6400" w:type="dxa"/>
            <w:shd w:val="clear" w:color="auto" w:fill="052831"/>
            <w:tcMar>
              <w:top w:w="80" w:type="dxa"/>
              <w:left w:w="100" w:type="dxa"/>
              <w:bottom w:w="80" w:type="dxa"/>
              <w:right w:w="100" w:type="dxa"/>
            </w:tcMar>
            <w:vAlign w:val="center"/>
          </w:tcPr>
          <w:p w14:paraId="6B1866A2" w14:textId="77777777" w:rsidR="00C6376F" w:rsidRDefault="005F311C">
            <w:r>
              <w:rPr>
                <w:rFonts w:ascii="Segoe UI" w:eastAsia="Segoe UI" w:hAnsi="Segoe UI" w:cs="Segoe UI"/>
                <w:b/>
                <w:bCs/>
                <w:color w:val="FFFFFF"/>
              </w:rPr>
              <w:t>Context</w:t>
            </w:r>
          </w:p>
        </w:tc>
      </w:tr>
      <w:tr w:rsidR="00C6376F" w14:paraId="74BF0163"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31A2C264" w14:textId="77777777" w:rsidR="00C6376F" w:rsidRDefault="005F311C">
            <w:r>
              <w:rPr>
                <w:rFonts w:ascii="Arial" w:eastAsia="Arial" w:hAnsi="Arial" w:cs="Arial"/>
                <w:color w:val="052831"/>
              </w:rPr>
              <w:t>Release Coordinator</w:t>
            </w:r>
          </w:p>
        </w:tc>
        <w:tc>
          <w:tcPr>
            <w:tcW w:w="6400" w:type="dxa"/>
            <w:shd w:val="clear" w:color="auto" w:fill="FFFFFF"/>
            <w:tcMar>
              <w:top w:w="70" w:type="dxa"/>
              <w:left w:w="100" w:type="dxa"/>
              <w:bottom w:w="70" w:type="dxa"/>
              <w:right w:w="100" w:type="dxa"/>
            </w:tcMar>
          </w:tcPr>
          <w:p w14:paraId="4C084800" w14:textId="77777777" w:rsidR="00C6376F" w:rsidRDefault="005F311C">
            <w:r>
              <w:rPr>
                <w:rFonts w:ascii="Arial" w:eastAsia="Arial" w:hAnsi="Arial" w:cs="Arial"/>
                <w:color w:val="052831"/>
              </w:rPr>
              <w:t>Validates every release pipeline stage before CAB submission</w:t>
            </w:r>
          </w:p>
        </w:tc>
      </w:tr>
      <w:tr w:rsidR="00C6376F" w14:paraId="5BC35B95" w14:textId="77777777">
        <w:tblPrEx>
          <w:tblCellMar>
            <w:top w:w="0" w:type="dxa"/>
            <w:bottom w:w="0" w:type="dxa"/>
          </w:tblCellMar>
        </w:tblPrEx>
        <w:tc>
          <w:tcPr>
            <w:tcW w:w="2800" w:type="dxa"/>
            <w:shd w:val="clear" w:color="auto" w:fill="F0F5F5"/>
            <w:tcMar>
              <w:top w:w="70" w:type="dxa"/>
              <w:left w:w="100" w:type="dxa"/>
              <w:bottom w:w="70" w:type="dxa"/>
              <w:right w:w="100" w:type="dxa"/>
            </w:tcMar>
          </w:tcPr>
          <w:p w14:paraId="5EA5278D" w14:textId="77777777" w:rsidR="00C6376F" w:rsidRDefault="005F311C">
            <w:r>
              <w:rPr>
                <w:rFonts w:ascii="Arial" w:eastAsia="Arial" w:hAnsi="Arial" w:cs="Arial"/>
                <w:color w:val="052831"/>
              </w:rPr>
              <w:t>Release Manager</w:t>
            </w:r>
          </w:p>
        </w:tc>
        <w:tc>
          <w:tcPr>
            <w:tcW w:w="6400" w:type="dxa"/>
            <w:shd w:val="clear" w:color="auto" w:fill="F0F5F5"/>
            <w:tcMar>
              <w:top w:w="70" w:type="dxa"/>
              <w:left w:w="100" w:type="dxa"/>
              <w:bottom w:w="70" w:type="dxa"/>
              <w:right w:w="100" w:type="dxa"/>
            </w:tcMar>
          </w:tcPr>
          <w:p w14:paraId="00EB3E58" w14:textId="77777777" w:rsidR="00C6376F" w:rsidRDefault="005F311C">
            <w:r>
              <w:rPr>
                <w:rFonts w:ascii="Arial" w:eastAsia="Arial" w:hAnsi="Arial" w:cs="Arial"/>
                <w:color w:val="052831"/>
              </w:rPr>
              <w:t>Owns GO/NO-GO decision and production deployment approval</w:t>
            </w:r>
          </w:p>
        </w:tc>
      </w:tr>
    </w:tbl>
    <w:p w14:paraId="709D4402"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Scope</w:t>
      </w:r>
    </w:p>
    <w:p w14:paraId="5C470712" w14:textId="77777777" w:rsidR="00C6376F" w:rsidRDefault="005F311C">
      <w:pPr>
        <w:shd w:val="clear" w:color="auto" w:fill="00C6C2"/>
        <w:spacing w:before="200" w:after="80"/>
        <w:ind w:left="200" w:right="200"/>
      </w:pPr>
      <w:r>
        <w:rPr>
          <w:rFonts w:ascii="Segoe UI" w:eastAsia="Segoe UI" w:hAnsi="Segoe UI" w:cs="Segoe UI"/>
          <w:b/>
          <w:bCs/>
          <w:color w:val="FFFFFF"/>
          <w:sz w:val="24"/>
          <w:szCs w:val="24"/>
        </w:rPr>
        <w:t>IN SCOPE</w:t>
      </w:r>
    </w:p>
    <w:p w14:paraId="2BE7319B" w14:textId="77777777" w:rsidR="00C6376F" w:rsidRDefault="005F311C">
      <w:pPr>
        <w:spacing w:before="40" w:after="40"/>
        <w:ind w:left="360"/>
      </w:pPr>
      <w:r>
        <w:rPr>
          <w:rFonts w:ascii="Arial" w:eastAsia="Arial" w:hAnsi="Arial" w:cs="Arial"/>
          <w:color w:val="052831"/>
          <w:sz w:val="22"/>
          <w:szCs w:val="22"/>
        </w:rPr>
        <w:t>• Jira: story/bug completion, blocker validation, scope match</w:t>
      </w:r>
    </w:p>
    <w:p w14:paraId="5F66C8A5" w14:textId="77777777" w:rsidR="00C6376F" w:rsidRDefault="005F311C">
      <w:pPr>
        <w:spacing w:before="40" w:after="40"/>
        <w:ind w:left="360"/>
      </w:pPr>
      <w:r>
        <w:rPr>
          <w:rFonts w:ascii="Arial" w:eastAsia="Arial" w:hAnsi="Arial" w:cs="Arial"/>
          <w:color w:val="052831"/>
          <w:sz w:val="22"/>
          <w:szCs w:val="22"/>
        </w:rPr>
        <w:t>• GitHub: PR approval, merge status, branch stability</w:t>
      </w:r>
    </w:p>
    <w:p w14:paraId="052C4AC5" w14:textId="77777777" w:rsidR="00C6376F" w:rsidRDefault="005F311C">
      <w:pPr>
        <w:spacing w:before="40" w:after="40"/>
        <w:ind w:left="360"/>
      </w:pPr>
      <w:r>
        <w:rPr>
          <w:rFonts w:ascii="Arial" w:eastAsia="Arial" w:hAnsi="Arial" w:cs="Arial"/>
          <w:color w:val="052831"/>
          <w:sz w:val="22"/>
          <w:szCs w:val="22"/>
        </w:rPr>
        <w:t>• SonarQube: quality gate, coverage, security, technical debt</w:t>
      </w:r>
    </w:p>
    <w:p w14:paraId="0F3D1F77" w14:textId="77777777" w:rsidR="00C6376F" w:rsidRDefault="005F311C">
      <w:pPr>
        <w:spacing w:before="40" w:after="40"/>
        <w:ind w:left="360"/>
      </w:pPr>
      <w:r>
        <w:rPr>
          <w:rFonts w:ascii="Arial" w:eastAsia="Arial" w:hAnsi="Arial" w:cs="Arial"/>
          <w:color w:val="052831"/>
          <w:sz w:val="22"/>
          <w:szCs w:val="22"/>
        </w:rPr>
        <w:t>• Test Results: unit, integration, regression, API, UAT pass rates</w:t>
      </w:r>
    </w:p>
    <w:p w14:paraId="36ECDF0A" w14:textId="77777777" w:rsidR="00C6376F" w:rsidRDefault="005F311C">
      <w:pPr>
        <w:spacing w:before="40" w:after="40"/>
        <w:ind w:left="360"/>
      </w:pPr>
      <w:r>
        <w:rPr>
          <w:rFonts w:ascii="Arial" w:eastAsia="Arial" w:hAnsi="Arial" w:cs="Arial"/>
          <w:color w:val="052831"/>
          <w:sz w:val="22"/>
          <w:szCs w:val="22"/>
        </w:rPr>
        <w:t>• Azure Monitor: availability, performance, exceptions, active alerts</w:t>
      </w:r>
    </w:p>
    <w:p w14:paraId="38354F0F" w14:textId="77777777" w:rsidR="00C6376F" w:rsidRDefault="005F311C">
      <w:pPr>
        <w:spacing w:before="40" w:after="40"/>
        <w:ind w:left="360"/>
      </w:pPr>
      <w:r>
        <w:rPr>
          <w:rFonts w:ascii="Arial" w:eastAsia="Arial" w:hAnsi="Arial" w:cs="Arial"/>
          <w:color w:val="052831"/>
          <w:sz w:val="22"/>
          <w:szCs w:val="22"/>
        </w:rPr>
        <w:t>• Regulatory / OWASP compliance check</w:t>
      </w:r>
    </w:p>
    <w:p w14:paraId="7026D6C7" w14:textId="77777777" w:rsidR="00C6376F" w:rsidRDefault="005F311C">
      <w:pPr>
        <w:spacing w:before="40" w:after="40"/>
        <w:ind w:left="360"/>
      </w:pPr>
      <w:r>
        <w:rPr>
          <w:rFonts w:ascii="Arial" w:eastAsia="Arial" w:hAnsi="Arial" w:cs="Arial"/>
          <w:color w:val="052831"/>
          <w:sz w:val="22"/>
          <w:szCs w:val="22"/>
        </w:rPr>
        <w:t>• Stress test result validation</w:t>
      </w:r>
    </w:p>
    <w:p w14:paraId="1D0A7274" w14:textId="77777777" w:rsidR="00C6376F" w:rsidRDefault="005F311C">
      <w:pPr>
        <w:spacing w:before="40" w:after="40"/>
        <w:ind w:left="360"/>
      </w:pPr>
      <w:r>
        <w:rPr>
          <w:rFonts w:ascii="Arial" w:eastAsia="Arial" w:hAnsi="Arial" w:cs="Arial"/>
          <w:color w:val="052831"/>
          <w:sz w:val="22"/>
          <w:szCs w:val="22"/>
        </w:rPr>
        <w:t>• AI Risk Assessment: Low / Medium / High with reasoning</w:t>
      </w:r>
    </w:p>
    <w:p w14:paraId="34D57DD2" w14:textId="77777777" w:rsidR="00C6376F" w:rsidRDefault="005F311C">
      <w:pPr>
        <w:spacing w:before="40" w:after="40"/>
        <w:ind w:left="360"/>
      </w:pPr>
      <w:r>
        <w:rPr>
          <w:rFonts w:ascii="Arial" w:eastAsia="Arial" w:hAnsi="Arial" w:cs="Arial"/>
          <w:color w:val="052831"/>
          <w:sz w:val="22"/>
          <w:szCs w:val="22"/>
        </w:rPr>
        <w:t>• Confidence score: weighted aggregation of stage risk scores</w:t>
      </w:r>
    </w:p>
    <w:p w14:paraId="7D48A52C" w14:textId="77777777" w:rsidR="00C6376F" w:rsidRDefault="005F311C">
      <w:pPr>
        <w:spacing w:before="40" w:after="40"/>
        <w:ind w:left="360"/>
      </w:pPr>
      <w:r>
        <w:rPr>
          <w:rFonts w:ascii="Arial" w:eastAsia="Arial" w:hAnsi="Arial" w:cs="Arial"/>
          <w:color w:val="052831"/>
          <w:sz w:val="22"/>
          <w:szCs w:val="22"/>
        </w:rPr>
        <w:t>• Final GO / GO WITH CONDITIONS / NO-GO recommendation + PDF export</w:t>
      </w:r>
    </w:p>
    <w:p w14:paraId="66F5788D" w14:textId="77777777" w:rsidR="00C6376F" w:rsidRDefault="005F311C">
      <w:pPr>
        <w:shd w:val="clear" w:color="auto" w:fill="00C6C2"/>
        <w:spacing w:before="200" w:after="80"/>
        <w:ind w:left="200" w:right="200"/>
      </w:pPr>
      <w:r>
        <w:rPr>
          <w:rFonts w:ascii="Segoe UI" w:eastAsia="Segoe UI" w:hAnsi="Segoe UI" w:cs="Segoe UI"/>
          <w:b/>
          <w:bCs/>
          <w:color w:val="FFFFFF"/>
          <w:sz w:val="24"/>
          <w:szCs w:val="24"/>
        </w:rPr>
        <w:t>OUT OF SCOPE</w:t>
      </w:r>
    </w:p>
    <w:p w14:paraId="721EA4E4" w14:textId="77777777" w:rsidR="00C6376F" w:rsidRDefault="005F311C">
      <w:pPr>
        <w:spacing w:before="40" w:after="40"/>
        <w:ind w:left="360"/>
      </w:pPr>
      <w:r>
        <w:rPr>
          <w:rFonts w:ascii="Arial" w:eastAsia="Arial" w:hAnsi="Arial" w:cs="Arial"/>
          <w:color w:val="052831"/>
          <w:sz w:val="22"/>
          <w:szCs w:val="22"/>
        </w:rPr>
        <w:t>• Live MCP integrations (production implementation pattern documented)</w:t>
      </w:r>
    </w:p>
    <w:p w14:paraId="1CA8BFB5" w14:textId="77777777" w:rsidR="00C6376F" w:rsidRDefault="005F311C">
      <w:pPr>
        <w:spacing w:before="40" w:after="40"/>
        <w:ind w:left="360"/>
      </w:pPr>
      <w:r>
        <w:rPr>
          <w:rFonts w:ascii="Arial" w:eastAsia="Arial" w:hAnsi="Arial" w:cs="Arial"/>
          <w:color w:val="052831"/>
          <w:sz w:val="22"/>
          <w:szCs w:val="22"/>
        </w:rPr>
        <w:t>• Automated deployment execution</w:t>
      </w:r>
    </w:p>
    <w:p w14:paraId="10CF466B" w14:textId="77777777" w:rsidR="00C6376F" w:rsidRDefault="005F311C">
      <w:pPr>
        <w:spacing w:before="40" w:after="40"/>
        <w:ind w:left="360"/>
      </w:pPr>
      <w:r>
        <w:rPr>
          <w:rFonts w:ascii="Arial" w:eastAsia="Arial" w:hAnsi="Arial" w:cs="Arial"/>
          <w:color w:val="052831"/>
          <w:sz w:val="22"/>
          <w:szCs w:val="22"/>
        </w:rPr>
        <w:t>• Change ticket creation or ITSM workflow automation</w:t>
      </w:r>
    </w:p>
    <w:p w14:paraId="7ACD2B2B" w14:textId="77777777" w:rsidR="00C6376F" w:rsidRDefault="005F311C">
      <w:pPr>
        <w:spacing w:before="40" w:after="40"/>
        <w:ind w:left="360"/>
      </w:pPr>
      <w:r>
        <w:rPr>
          <w:rFonts w:ascii="Arial" w:eastAsia="Arial" w:hAnsi="Arial" w:cs="Arial"/>
          <w:color w:val="052831"/>
          <w:sz w:val="22"/>
          <w:szCs w:val="22"/>
        </w:rPr>
        <w:t>• Historical trend analysis across multiple sprints</w:t>
      </w:r>
    </w:p>
    <w:p w14:paraId="2BFE0895"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Architecture &amp; Integration Approach</w:t>
      </w:r>
    </w:p>
    <w:p w14:paraId="4B9C0EA0" w14:textId="77777777" w:rsidR="00C6376F" w:rsidRDefault="005F311C">
      <w:pPr>
        <w:spacing w:before="60" w:after="60"/>
      </w:pPr>
      <w:r>
        <w:rPr>
          <w:rFonts w:ascii="Arial" w:eastAsia="Arial" w:hAnsi="Arial" w:cs="Arial"/>
          <w:color w:val="052831"/>
          <w:sz w:val="22"/>
          <w:szCs w:val="22"/>
        </w:rPr>
        <w:t>For the hackathon MVP, all data sources (Jira, GitHub, SonarQube, Test Results, Azure Monitor, and deployment configuration) are mocked using representative release datasets. The architecture is designed to demonstrate how MCP integrations replace mock data in a production implementation — each mock maps 1:1 to a named MCP connector or API endpoint.</w:t>
      </w:r>
    </w:p>
    <w:p w14:paraId="3CE9E971"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User Journey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800"/>
      </w:tblGrid>
      <w:tr w:rsidR="00C6376F" w14:paraId="2C6E8E83" w14:textId="77777777">
        <w:tblPrEx>
          <w:tblCellMar>
            <w:top w:w="0" w:type="dxa"/>
            <w:bottom w:w="0" w:type="dxa"/>
          </w:tblCellMar>
        </w:tblPrEx>
        <w:tc>
          <w:tcPr>
            <w:tcW w:w="2600" w:type="dxa"/>
            <w:shd w:val="clear" w:color="auto" w:fill="052831"/>
            <w:tcMar>
              <w:top w:w="80" w:type="dxa"/>
              <w:left w:w="100" w:type="dxa"/>
              <w:bottom w:w="80" w:type="dxa"/>
              <w:right w:w="100" w:type="dxa"/>
            </w:tcMar>
            <w:vAlign w:val="center"/>
          </w:tcPr>
          <w:p w14:paraId="74AD5B4E" w14:textId="77777777" w:rsidR="00C6376F" w:rsidRDefault="005F311C">
            <w:r>
              <w:rPr>
                <w:rFonts w:ascii="Segoe UI" w:eastAsia="Segoe UI" w:hAnsi="Segoe UI" w:cs="Segoe UI"/>
                <w:b/>
                <w:bCs/>
                <w:color w:val="FFFFFF"/>
              </w:rPr>
              <w:lastRenderedPageBreak/>
              <w:t>Step</w:t>
            </w:r>
          </w:p>
        </w:tc>
        <w:tc>
          <w:tcPr>
            <w:tcW w:w="3800" w:type="dxa"/>
            <w:shd w:val="clear" w:color="auto" w:fill="052831"/>
            <w:tcMar>
              <w:top w:w="80" w:type="dxa"/>
              <w:left w:w="100" w:type="dxa"/>
              <w:bottom w:w="80" w:type="dxa"/>
              <w:right w:w="100" w:type="dxa"/>
            </w:tcMar>
            <w:vAlign w:val="center"/>
          </w:tcPr>
          <w:p w14:paraId="3994B593" w14:textId="77777777" w:rsidR="00C6376F" w:rsidRDefault="005F311C">
            <w:r>
              <w:rPr>
                <w:rFonts w:ascii="Segoe UI" w:eastAsia="Segoe UI" w:hAnsi="Segoe UI" w:cs="Segoe UI"/>
                <w:b/>
                <w:bCs/>
                <w:color w:val="FFFFFF"/>
              </w:rPr>
              <w:t>Action</w:t>
            </w:r>
          </w:p>
        </w:tc>
        <w:tc>
          <w:tcPr>
            <w:tcW w:w="2800" w:type="dxa"/>
            <w:shd w:val="clear" w:color="auto" w:fill="052831"/>
            <w:tcMar>
              <w:top w:w="80" w:type="dxa"/>
              <w:left w:w="100" w:type="dxa"/>
              <w:bottom w:w="80" w:type="dxa"/>
              <w:right w:w="100" w:type="dxa"/>
            </w:tcMar>
            <w:vAlign w:val="center"/>
          </w:tcPr>
          <w:p w14:paraId="19069428" w14:textId="77777777" w:rsidR="00C6376F" w:rsidRDefault="005F311C">
            <w:r>
              <w:rPr>
                <w:rFonts w:ascii="Segoe UI" w:eastAsia="Segoe UI" w:hAnsi="Segoe UI" w:cs="Segoe UI"/>
                <w:b/>
                <w:bCs/>
                <w:color w:val="FFFFFF"/>
              </w:rPr>
              <w:t>Output</w:t>
            </w:r>
          </w:p>
        </w:tc>
      </w:tr>
      <w:tr w:rsidR="00C6376F" w14:paraId="40B08DFE"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85DF21C" w14:textId="77777777" w:rsidR="00C6376F" w:rsidRDefault="005F311C">
            <w:r>
              <w:rPr>
                <w:rFonts w:ascii="Arial" w:eastAsia="Arial" w:hAnsi="Arial" w:cs="Arial"/>
                <w:color w:val="052831"/>
              </w:rPr>
              <w:t>1</w:t>
            </w:r>
          </w:p>
        </w:tc>
        <w:tc>
          <w:tcPr>
            <w:tcW w:w="3800" w:type="dxa"/>
            <w:shd w:val="clear" w:color="auto" w:fill="FFFFFF"/>
            <w:tcMar>
              <w:top w:w="70" w:type="dxa"/>
              <w:left w:w="100" w:type="dxa"/>
              <w:bottom w:w="70" w:type="dxa"/>
              <w:right w:w="100" w:type="dxa"/>
            </w:tcMar>
          </w:tcPr>
          <w:p w14:paraId="371DF0B1" w14:textId="77777777" w:rsidR="00C6376F" w:rsidRDefault="005F311C">
            <w:r>
              <w:rPr>
                <w:rFonts w:ascii="Arial" w:eastAsia="Arial" w:hAnsi="Arial" w:cs="Arial"/>
                <w:color w:val="052831"/>
              </w:rPr>
              <w:t>Coordinator triggers Release Readiness check via UI</w:t>
            </w:r>
          </w:p>
        </w:tc>
        <w:tc>
          <w:tcPr>
            <w:tcW w:w="2800" w:type="dxa"/>
            <w:shd w:val="clear" w:color="auto" w:fill="FFFFFF"/>
            <w:tcMar>
              <w:top w:w="70" w:type="dxa"/>
              <w:left w:w="100" w:type="dxa"/>
              <w:bottom w:w="70" w:type="dxa"/>
              <w:right w:w="100" w:type="dxa"/>
            </w:tcMar>
          </w:tcPr>
          <w:p w14:paraId="12A78BF2" w14:textId="77777777" w:rsidR="00C6376F" w:rsidRDefault="005F311C">
            <w:r>
              <w:rPr>
                <w:rFonts w:ascii="Arial" w:eastAsia="Arial" w:hAnsi="Arial" w:cs="Arial"/>
                <w:color w:val="052831"/>
              </w:rPr>
              <w:t>Mocked data loaded for all 7 pipeline stages</w:t>
            </w:r>
          </w:p>
        </w:tc>
      </w:tr>
      <w:tr w:rsidR="00C6376F" w14:paraId="76703392" w14:textId="77777777">
        <w:tblPrEx>
          <w:tblCellMar>
            <w:top w:w="0" w:type="dxa"/>
            <w:bottom w:w="0" w:type="dxa"/>
          </w:tblCellMar>
        </w:tblPrEx>
        <w:tc>
          <w:tcPr>
            <w:tcW w:w="2600" w:type="dxa"/>
            <w:shd w:val="clear" w:color="auto" w:fill="F0F5F5"/>
            <w:tcMar>
              <w:top w:w="70" w:type="dxa"/>
              <w:left w:w="100" w:type="dxa"/>
              <w:bottom w:w="70" w:type="dxa"/>
              <w:right w:w="100" w:type="dxa"/>
            </w:tcMar>
          </w:tcPr>
          <w:p w14:paraId="50442343" w14:textId="77777777" w:rsidR="00C6376F" w:rsidRDefault="005F311C">
            <w:r>
              <w:rPr>
                <w:rFonts w:ascii="Arial" w:eastAsia="Arial" w:hAnsi="Arial" w:cs="Arial"/>
                <w:color w:val="052831"/>
              </w:rPr>
              <w:t>2</w:t>
            </w:r>
          </w:p>
        </w:tc>
        <w:tc>
          <w:tcPr>
            <w:tcW w:w="3800" w:type="dxa"/>
            <w:shd w:val="clear" w:color="auto" w:fill="F0F5F5"/>
            <w:tcMar>
              <w:top w:w="70" w:type="dxa"/>
              <w:left w:w="100" w:type="dxa"/>
              <w:bottom w:w="70" w:type="dxa"/>
              <w:right w:w="100" w:type="dxa"/>
            </w:tcMar>
          </w:tcPr>
          <w:p w14:paraId="6109A0F2" w14:textId="77777777" w:rsidR="00C6376F" w:rsidRDefault="005F311C">
            <w:r>
              <w:rPr>
                <w:rFonts w:ascii="Arial" w:eastAsia="Arial" w:hAnsi="Arial" w:cs="Arial"/>
                <w:color w:val="052831"/>
              </w:rPr>
              <w:t>AI analyses all pipeline stages simultaneously</w:t>
            </w:r>
          </w:p>
        </w:tc>
        <w:tc>
          <w:tcPr>
            <w:tcW w:w="2800" w:type="dxa"/>
            <w:shd w:val="clear" w:color="auto" w:fill="F0F5F5"/>
            <w:tcMar>
              <w:top w:w="70" w:type="dxa"/>
              <w:left w:w="100" w:type="dxa"/>
              <w:bottom w:w="70" w:type="dxa"/>
              <w:right w:w="100" w:type="dxa"/>
            </w:tcMar>
          </w:tcPr>
          <w:p w14:paraId="49705B6D" w14:textId="77777777" w:rsidR="00C6376F" w:rsidRDefault="005F311C">
            <w:r>
              <w:rPr>
                <w:rFonts w:ascii="Arial" w:eastAsia="Arial" w:hAnsi="Arial" w:cs="Arial"/>
                <w:color w:val="052831"/>
              </w:rPr>
              <w:t>Per-stage Pass/Fail with risk rating</w:t>
            </w:r>
          </w:p>
        </w:tc>
      </w:tr>
      <w:tr w:rsidR="00C6376F" w14:paraId="2E42C58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977531D" w14:textId="77777777" w:rsidR="00C6376F" w:rsidRDefault="005F311C">
            <w:r>
              <w:rPr>
                <w:rFonts w:ascii="Arial" w:eastAsia="Arial" w:hAnsi="Arial" w:cs="Arial"/>
                <w:color w:val="052831"/>
              </w:rPr>
              <w:t>3</w:t>
            </w:r>
          </w:p>
        </w:tc>
        <w:tc>
          <w:tcPr>
            <w:tcW w:w="3800" w:type="dxa"/>
            <w:shd w:val="clear" w:color="auto" w:fill="FFFFFF"/>
            <w:tcMar>
              <w:top w:w="70" w:type="dxa"/>
              <w:left w:w="100" w:type="dxa"/>
              <w:bottom w:w="70" w:type="dxa"/>
              <w:right w:w="100" w:type="dxa"/>
            </w:tcMar>
          </w:tcPr>
          <w:p w14:paraId="01BC48BF" w14:textId="77777777" w:rsidR="00C6376F" w:rsidRDefault="005F311C">
            <w:r>
              <w:rPr>
                <w:rFonts w:ascii="Arial" w:eastAsia="Arial" w:hAnsi="Arial" w:cs="Arial"/>
                <w:color w:val="052831"/>
              </w:rPr>
              <w:t>AI Risk Assessment synthesises findings</w:t>
            </w:r>
          </w:p>
        </w:tc>
        <w:tc>
          <w:tcPr>
            <w:tcW w:w="2800" w:type="dxa"/>
            <w:shd w:val="clear" w:color="auto" w:fill="FFFFFF"/>
            <w:tcMar>
              <w:top w:w="70" w:type="dxa"/>
              <w:left w:w="100" w:type="dxa"/>
              <w:bottom w:w="70" w:type="dxa"/>
              <w:right w:w="100" w:type="dxa"/>
            </w:tcMar>
          </w:tcPr>
          <w:p w14:paraId="2F3F6642" w14:textId="77777777" w:rsidR="00C6376F" w:rsidRDefault="005F311C">
            <w:r>
              <w:rPr>
                <w:rFonts w:ascii="Arial" w:eastAsia="Arial" w:hAnsi="Arial" w:cs="Arial"/>
                <w:color w:val="052831"/>
              </w:rPr>
              <w:t>Overall Low/Medium/High risk with written reasoning</w:t>
            </w:r>
          </w:p>
        </w:tc>
      </w:tr>
      <w:tr w:rsidR="00C6376F" w14:paraId="073B4EA9" w14:textId="77777777">
        <w:tblPrEx>
          <w:tblCellMar>
            <w:top w:w="0" w:type="dxa"/>
            <w:bottom w:w="0" w:type="dxa"/>
          </w:tblCellMar>
        </w:tblPrEx>
        <w:tc>
          <w:tcPr>
            <w:tcW w:w="2600" w:type="dxa"/>
            <w:shd w:val="clear" w:color="auto" w:fill="F0F5F5"/>
            <w:tcMar>
              <w:top w:w="70" w:type="dxa"/>
              <w:left w:w="100" w:type="dxa"/>
              <w:bottom w:w="70" w:type="dxa"/>
              <w:right w:w="100" w:type="dxa"/>
            </w:tcMar>
          </w:tcPr>
          <w:p w14:paraId="52A08477" w14:textId="77777777" w:rsidR="00C6376F" w:rsidRDefault="005F311C">
            <w:r>
              <w:rPr>
                <w:rFonts w:ascii="Arial" w:eastAsia="Arial" w:hAnsi="Arial" w:cs="Arial"/>
                <w:color w:val="052831"/>
              </w:rPr>
              <w:t>4</w:t>
            </w:r>
          </w:p>
        </w:tc>
        <w:tc>
          <w:tcPr>
            <w:tcW w:w="3800" w:type="dxa"/>
            <w:shd w:val="clear" w:color="auto" w:fill="F0F5F5"/>
            <w:tcMar>
              <w:top w:w="70" w:type="dxa"/>
              <w:left w:w="100" w:type="dxa"/>
              <w:bottom w:w="70" w:type="dxa"/>
              <w:right w:w="100" w:type="dxa"/>
            </w:tcMar>
          </w:tcPr>
          <w:p w14:paraId="73069A73" w14:textId="77777777" w:rsidR="00C6376F" w:rsidRDefault="005F311C">
            <w:r>
              <w:rPr>
                <w:rFonts w:ascii="Arial" w:eastAsia="Arial" w:hAnsi="Arial" w:cs="Arial"/>
                <w:color w:val="052831"/>
              </w:rPr>
              <w:t>Final decision rendered with confidence score</w:t>
            </w:r>
          </w:p>
        </w:tc>
        <w:tc>
          <w:tcPr>
            <w:tcW w:w="2800" w:type="dxa"/>
            <w:shd w:val="clear" w:color="auto" w:fill="F0F5F5"/>
            <w:tcMar>
              <w:top w:w="70" w:type="dxa"/>
              <w:left w:w="100" w:type="dxa"/>
              <w:bottom w:w="70" w:type="dxa"/>
              <w:right w:w="100" w:type="dxa"/>
            </w:tcMar>
          </w:tcPr>
          <w:p w14:paraId="5F602A15" w14:textId="77777777" w:rsidR="00C6376F" w:rsidRDefault="005F311C">
            <w:r>
              <w:rPr>
                <w:rFonts w:ascii="Arial" w:eastAsia="Arial" w:hAnsi="Arial" w:cs="Arial"/>
                <w:color w:val="052831"/>
              </w:rPr>
              <w:t>GO / GO WITH CONDITIONS / NO-GO + executive summary</w:t>
            </w:r>
          </w:p>
        </w:tc>
      </w:tr>
      <w:tr w:rsidR="00C6376F" w14:paraId="18A01A9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09455382" w14:textId="77777777" w:rsidR="00C6376F" w:rsidRDefault="005F311C">
            <w:r>
              <w:rPr>
                <w:rFonts w:ascii="Arial" w:eastAsia="Arial" w:hAnsi="Arial" w:cs="Arial"/>
                <w:color w:val="052831"/>
              </w:rPr>
              <w:t>5</w:t>
            </w:r>
          </w:p>
        </w:tc>
        <w:tc>
          <w:tcPr>
            <w:tcW w:w="3800" w:type="dxa"/>
            <w:shd w:val="clear" w:color="auto" w:fill="FFFFFF"/>
            <w:tcMar>
              <w:top w:w="70" w:type="dxa"/>
              <w:left w:w="100" w:type="dxa"/>
              <w:bottom w:w="70" w:type="dxa"/>
              <w:right w:w="100" w:type="dxa"/>
            </w:tcMar>
          </w:tcPr>
          <w:p w14:paraId="43A158D9" w14:textId="77777777" w:rsidR="00C6376F" w:rsidRDefault="005F311C">
            <w:r>
              <w:rPr>
                <w:rFonts w:ascii="Arial" w:eastAsia="Arial" w:hAnsi="Arial" w:cs="Arial"/>
                <w:color w:val="052831"/>
              </w:rPr>
              <w:t>Coordinator exports Release Readiness Summary</w:t>
            </w:r>
          </w:p>
        </w:tc>
        <w:tc>
          <w:tcPr>
            <w:tcW w:w="2800" w:type="dxa"/>
            <w:shd w:val="clear" w:color="auto" w:fill="FFFFFF"/>
            <w:tcMar>
              <w:top w:w="70" w:type="dxa"/>
              <w:left w:w="100" w:type="dxa"/>
              <w:bottom w:w="70" w:type="dxa"/>
              <w:right w:w="100" w:type="dxa"/>
            </w:tcMar>
          </w:tcPr>
          <w:p w14:paraId="1FDA66A2" w14:textId="77777777" w:rsidR="00C6376F" w:rsidRDefault="005F311C">
            <w:r>
              <w:rPr>
                <w:rFonts w:ascii="Arial" w:eastAsia="Arial" w:hAnsi="Arial" w:cs="Arial"/>
                <w:color w:val="052831"/>
              </w:rPr>
              <w:t>PDF submitted to CAB for approval</w:t>
            </w:r>
          </w:p>
        </w:tc>
      </w:tr>
    </w:tbl>
    <w:p w14:paraId="5129B0A2"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Demo Scenario (Scripted Failure Path)</w:t>
      </w:r>
    </w:p>
    <w:p w14:paraId="476A0826" w14:textId="77777777" w:rsidR="00C6376F" w:rsidRDefault="005F311C">
      <w:pPr>
        <w:spacing w:before="60" w:after="60"/>
      </w:pPr>
      <w:r>
        <w:rPr>
          <w:rFonts w:ascii="Arial" w:eastAsia="Arial" w:hAnsi="Arial" w:cs="Arial"/>
          <w:color w:val="052831"/>
          <w:sz w:val="22"/>
          <w:szCs w:val="22"/>
        </w:rPr>
        <w:t>The primary demo uses a mocked release dataset containing two deliberate blockers to demonstrate AI detection accuracy:</w:t>
      </w:r>
    </w:p>
    <w:p w14:paraId="49C776B7" w14:textId="77777777" w:rsidR="00C6376F" w:rsidRDefault="005F311C">
      <w:pPr>
        <w:spacing w:before="40" w:after="40"/>
        <w:ind w:left="360"/>
      </w:pPr>
      <w:r>
        <w:rPr>
          <w:rFonts w:ascii="Arial" w:eastAsia="Arial" w:hAnsi="Arial" w:cs="Arial"/>
          <w:color w:val="052831"/>
          <w:sz w:val="22"/>
          <w:szCs w:val="22"/>
        </w:rPr>
        <w:t>• Blocker 1 — Missing external API configuration: deployment config check fails, flagged as Critical</w:t>
      </w:r>
    </w:p>
    <w:p w14:paraId="04222D51" w14:textId="77777777" w:rsidR="00C6376F" w:rsidRDefault="005F311C">
      <w:pPr>
        <w:spacing w:before="40" w:after="40"/>
        <w:ind w:left="360"/>
      </w:pPr>
      <w:r>
        <w:rPr>
          <w:rFonts w:ascii="Arial" w:eastAsia="Arial" w:hAnsi="Arial" w:cs="Arial"/>
          <w:color w:val="052831"/>
          <w:sz w:val="22"/>
          <w:szCs w:val="22"/>
        </w:rPr>
        <w:t>• Blocker 2 — Unmerged hotfix PR: GitHub stage detects open PR against release branch, flagged as Critical</w:t>
      </w:r>
    </w:p>
    <w:p w14:paraId="2E311FF1" w14:textId="77777777" w:rsidR="00C6376F" w:rsidRDefault="005F311C">
      <w:pPr>
        <w:spacing w:before="60" w:after="60"/>
      </w:pPr>
      <w:r>
        <w:rPr>
          <w:rFonts w:ascii="Arial" w:eastAsia="Arial" w:hAnsi="Arial" w:cs="Arial"/>
          <w:color w:val="052831"/>
          <w:sz w:val="22"/>
          <w:szCs w:val="22"/>
        </w:rPr>
        <w:t>Expected outcome: Release Readiness AI returns a NO GO recommendation with both blockers listed under Critical Issues, supporting evidence cited per stage, and remediation actions suggested. This path demonstrates the highest-value use case for CAB reviewers.</w:t>
      </w:r>
    </w:p>
    <w:p w14:paraId="2DA33E23"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Confidence Score Definition</w:t>
      </w:r>
    </w:p>
    <w:p w14:paraId="6A939988" w14:textId="77777777" w:rsidR="00C6376F" w:rsidRDefault="005F311C">
      <w:pPr>
        <w:spacing w:before="60" w:after="60"/>
      </w:pPr>
      <w:r>
        <w:rPr>
          <w:rFonts w:ascii="Arial" w:eastAsia="Arial" w:hAnsi="Arial" w:cs="Arial"/>
          <w:color w:val="052831"/>
          <w:sz w:val="22"/>
          <w:szCs w:val="22"/>
        </w:rPr>
        <w:t>The confidence score is a weighted aggregation of stage risk scores across all validation stages: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6376F" w14:paraId="38FF46CA" w14:textId="77777777">
        <w:tblPrEx>
          <w:tblCellMar>
            <w:top w:w="0" w:type="dxa"/>
            <w:bottom w:w="0" w:type="dxa"/>
          </w:tblCellMar>
        </w:tblPrEx>
        <w:tc>
          <w:tcPr>
            <w:tcW w:w="2800" w:type="dxa"/>
            <w:shd w:val="clear" w:color="auto" w:fill="052831"/>
            <w:tcMar>
              <w:top w:w="80" w:type="dxa"/>
              <w:left w:w="100" w:type="dxa"/>
              <w:bottom w:w="80" w:type="dxa"/>
              <w:right w:w="100" w:type="dxa"/>
            </w:tcMar>
            <w:vAlign w:val="center"/>
          </w:tcPr>
          <w:p w14:paraId="3B75E7EC" w14:textId="77777777" w:rsidR="00C6376F" w:rsidRDefault="005F311C">
            <w:r>
              <w:rPr>
                <w:rFonts w:ascii="Segoe UI" w:eastAsia="Segoe UI" w:hAnsi="Segoe UI" w:cs="Segoe UI"/>
                <w:b/>
                <w:bCs/>
                <w:color w:val="FFFFFF"/>
              </w:rPr>
              <w:t>Risk Rating</w:t>
            </w:r>
          </w:p>
        </w:tc>
        <w:tc>
          <w:tcPr>
            <w:tcW w:w="6400" w:type="dxa"/>
            <w:shd w:val="clear" w:color="auto" w:fill="052831"/>
            <w:tcMar>
              <w:top w:w="80" w:type="dxa"/>
              <w:left w:w="100" w:type="dxa"/>
              <w:bottom w:w="80" w:type="dxa"/>
              <w:right w:w="100" w:type="dxa"/>
            </w:tcMar>
            <w:vAlign w:val="center"/>
          </w:tcPr>
          <w:p w14:paraId="354F29B1" w14:textId="77777777" w:rsidR="00C6376F" w:rsidRDefault="005F311C">
            <w:r>
              <w:rPr>
                <w:rFonts w:ascii="Segoe UI" w:eastAsia="Segoe UI" w:hAnsi="Segoe UI" w:cs="Segoe UI"/>
                <w:b/>
                <w:bCs/>
                <w:color w:val="FFFFFF"/>
              </w:rPr>
              <w:t>Score</w:t>
            </w:r>
          </w:p>
        </w:tc>
      </w:tr>
      <w:tr w:rsidR="00C6376F" w14:paraId="566899C3"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344B84E8" w14:textId="77777777" w:rsidR="00C6376F" w:rsidRDefault="005F311C">
            <w:r>
              <w:rPr>
                <w:rFonts w:ascii="Arial" w:eastAsia="Arial" w:hAnsi="Arial" w:cs="Arial"/>
                <w:color w:val="052831"/>
              </w:rPr>
              <w:t>Critical finding</w:t>
            </w:r>
          </w:p>
        </w:tc>
        <w:tc>
          <w:tcPr>
            <w:tcW w:w="6400" w:type="dxa"/>
            <w:shd w:val="clear" w:color="auto" w:fill="FFFFFF"/>
            <w:tcMar>
              <w:top w:w="70" w:type="dxa"/>
              <w:left w:w="100" w:type="dxa"/>
              <w:bottom w:w="70" w:type="dxa"/>
              <w:right w:w="100" w:type="dxa"/>
            </w:tcMar>
          </w:tcPr>
          <w:p w14:paraId="503683BC" w14:textId="77777777" w:rsidR="00C6376F" w:rsidRDefault="005F311C">
            <w:r>
              <w:rPr>
                <w:rFonts w:ascii="Arial" w:eastAsia="Arial" w:hAnsi="Arial" w:cs="Arial"/>
                <w:color w:val="052831"/>
              </w:rPr>
              <w:t>0%</w:t>
            </w:r>
          </w:p>
        </w:tc>
      </w:tr>
      <w:tr w:rsidR="00C6376F" w14:paraId="546A8C29" w14:textId="77777777">
        <w:tblPrEx>
          <w:tblCellMar>
            <w:top w:w="0" w:type="dxa"/>
            <w:bottom w:w="0" w:type="dxa"/>
          </w:tblCellMar>
        </w:tblPrEx>
        <w:tc>
          <w:tcPr>
            <w:tcW w:w="2800" w:type="dxa"/>
            <w:shd w:val="clear" w:color="auto" w:fill="F0F5F5"/>
            <w:tcMar>
              <w:top w:w="70" w:type="dxa"/>
              <w:left w:w="100" w:type="dxa"/>
              <w:bottom w:w="70" w:type="dxa"/>
              <w:right w:w="100" w:type="dxa"/>
            </w:tcMar>
          </w:tcPr>
          <w:p w14:paraId="05DFBF36" w14:textId="77777777" w:rsidR="00C6376F" w:rsidRDefault="005F311C">
            <w:r>
              <w:rPr>
                <w:rFonts w:ascii="Arial" w:eastAsia="Arial" w:hAnsi="Arial" w:cs="Arial"/>
                <w:color w:val="052831"/>
              </w:rPr>
              <w:t>High risk</w:t>
            </w:r>
          </w:p>
        </w:tc>
        <w:tc>
          <w:tcPr>
            <w:tcW w:w="6400" w:type="dxa"/>
            <w:shd w:val="clear" w:color="auto" w:fill="F0F5F5"/>
            <w:tcMar>
              <w:top w:w="70" w:type="dxa"/>
              <w:left w:w="100" w:type="dxa"/>
              <w:bottom w:w="70" w:type="dxa"/>
              <w:right w:w="100" w:type="dxa"/>
            </w:tcMar>
          </w:tcPr>
          <w:p w14:paraId="73B72746" w14:textId="77777777" w:rsidR="00C6376F" w:rsidRDefault="005F311C">
            <w:r>
              <w:rPr>
                <w:rFonts w:ascii="Arial" w:eastAsia="Arial" w:hAnsi="Arial" w:cs="Arial"/>
                <w:color w:val="052831"/>
              </w:rPr>
              <w:t>40%</w:t>
            </w:r>
          </w:p>
        </w:tc>
      </w:tr>
      <w:tr w:rsidR="00C6376F" w14:paraId="6E86739A"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168FD1BF" w14:textId="77777777" w:rsidR="00C6376F" w:rsidRDefault="005F311C">
            <w:r>
              <w:rPr>
                <w:rFonts w:ascii="Arial" w:eastAsia="Arial" w:hAnsi="Arial" w:cs="Arial"/>
                <w:color w:val="052831"/>
              </w:rPr>
              <w:t>Medium risk</w:t>
            </w:r>
          </w:p>
        </w:tc>
        <w:tc>
          <w:tcPr>
            <w:tcW w:w="6400" w:type="dxa"/>
            <w:shd w:val="clear" w:color="auto" w:fill="FFFFFF"/>
            <w:tcMar>
              <w:top w:w="70" w:type="dxa"/>
              <w:left w:w="100" w:type="dxa"/>
              <w:bottom w:w="70" w:type="dxa"/>
              <w:right w:w="100" w:type="dxa"/>
            </w:tcMar>
          </w:tcPr>
          <w:p w14:paraId="266E3F7D" w14:textId="77777777" w:rsidR="00C6376F" w:rsidRDefault="005F311C">
            <w:r>
              <w:rPr>
                <w:rFonts w:ascii="Arial" w:eastAsia="Arial" w:hAnsi="Arial" w:cs="Arial"/>
                <w:color w:val="052831"/>
              </w:rPr>
              <w:t>70%</w:t>
            </w:r>
          </w:p>
        </w:tc>
      </w:tr>
      <w:tr w:rsidR="00C6376F" w14:paraId="5D042847" w14:textId="77777777">
        <w:tblPrEx>
          <w:tblCellMar>
            <w:top w:w="0" w:type="dxa"/>
            <w:bottom w:w="0" w:type="dxa"/>
          </w:tblCellMar>
        </w:tblPrEx>
        <w:tc>
          <w:tcPr>
            <w:tcW w:w="2800" w:type="dxa"/>
            <w:shd w:val="clear" w:color="auto" w:fill="F0F5F5"/>
            <w:tcMar>
              <w:top w:w="70" w:type="dxa"/>
              <w:left w:w="100" w:type="dxa"/>
              <w:bottom w:w="70" w:type="dxa"/>
              <w:right w:w="100" w:type="dxa"/>
            </w:tcMar>
          </w:tcPr>
          <w:p w14:paraId="370DC8F1" w14:textId="77777777" w:rsidR="00C6376F" w:rsidRDefault="005F311C">
            <w:r>
              <w:rPr>
                <w:rFonts w:ascii="Arial" w:eastAsia="Arial" w:hAnsi="Arial" w:cs="Arial"/>
                <w:color w:val="052831"/>
              </w:rPr>
              <w:t>Low risk</w:t>
            </w:r>
          </w:p>
        </w:tc>
        <w:tc>
          <w:tcPr>
            <w:tcW w:w="6400" w:type="dxa"/>
            <w:shd w:val="clear" w:color="auto" w:fill="F0F5F5"/>
            <w:tcMar>
              <w:top w:w="70" w:type="dxa"/>
              <w:left w:w="100" w:type="dxa"/>
              <w:bottom w:w="70" w:type="dxa"/>
              <w:right w:w="100" w:type="dxa"/>
            </w:tcMar>
          </w:tcPr>
          <w:p w14:paraId="26E291E8" w14:textId="77777777" w:rsidR="00C6376F" w:rsidRDefault="005F311C">
            <w:r>
              <w:rPr>
                <w:rFonts w:ascii="Arial" w:eastAsia="Arial" w:hAnsi="Arial" w:cs="Arial"/>
                <w:color w:val="052831"/>
              </w:rPr>
              <w:t>100%</w:t>
            </w:r>
          </w:p>
        </w:tc>
      </w:tr>
    </w:tbl>
    <w:p w14:paraId="038A1213" w14:textId="77777777" w:rsidR="00C6376F" w:rsidRDefault="00C6376F">
      <w:pPr>
        <w:spacing w:before="80" w:after="80"/>
      </w:pPr>
    </w:p>
    <w:p w14:paraId="62E4140E" w14:textId="77777777" w:rsidR="00C6376F" w:rsidRDefault="005F311C">
      <w:pPr>
        <w:spacing w:before="60" w:after="60"/>
      </w:pPr>
      <w:r>
        <w:rPr>
          <w:rFonts w:ascii="Arial" w:eastAsia="Arial" w:hAnsi="Arial" w:cs="Arial"/>
          <w:color w:val="052831"/>
          <w:sz w:val="22"/>
          <w:szCs w:val="22"/>
        </w:rPr>
        <w:t>Overall confidence = weighted average across all 7 pipeline stages. A single Critical finding caps the overall score and triggers a NO GO recommendation regardless of other stage scores.</w:t>
      </w:r>
    </w:p>
    <w:p w14:paraId="62E23CEB"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Acceptance Criteria</w:t>
      </w:r>
    </w:p>
    <w:p w14:paraId="1C47E96D" w14:textId="77777777" w:rsidR="00C6376F" w:rsidRDefault="005F311C">
      <w:pPr>
        <w:spacing w:before="40" w:after="40"/>
        <w:ind w:left="360"/>
      </w:pPr>
      <w:r>
        <w:rPr>
          <w:rFonts w:ascii="Arial" w:eastAsia="Arial" w:hAnsi="Arial" w:cs="Arial"/>
          <w:color w:val="052831"/>
          <w:sz w:val="22"/>
          <w:szCs w:val="22"/>
        </w:rPr>
        <w:t>• All 7 pipeline stages return a Pass/Fail status with findings and risk rating</w:t>
      </w:r>
    </w:p>
    <w:p w14:paraId="0DD2BD36" w14:textId="77777777" w:rsidR="00C6376F" w:rsidRDefault="005F311C">
      <w:pPr>
        <w:spacing w:before="40" w:after="40"/>
        <w:ind w:left="360"/>
      </w:pPr>
      <w:r>
        <w:rPr>
          <w:rFonts w:ascii="Arial" w:eastAsia="Arial" w:hAnsi="Arial" w:cs="Arial"/>
          <w:color w:val="052831"/>
          <w:sz w:val="22"/>
          <w:szCs w:val="22"/>
        </w:rPr>
        <w:t>• Critical blockers listed explicitly and prevent a GO recommendation</w:t>
      </w:r>
    </w:p>
    <w:p w14:paraId="68B18673" w14:textId="77777777" w:rsidR="00C6376F" w:rsidRDefault="005F311C">
      <w:pPr>
        <w:spacing w:before="40" w:after="40"/>
        <w:ind w:left="360"/>
      </w:pPr>
      <w:r>
        <w:rPr>
          <w:rFonts w:ascii="Arial" w:eastAsia="Arial" w:hAnsi="Arial" w:cs="Arial"/>
          <w:color w:val="052831"/>
          <w:sz w:val="22"/>
          <w:szCs w:val="22"/>
        </w:rPr>
        <w:t>• AI Risk Assessment provides written reasoning, not just a label</w:t>
      </w:r>
    </w:p>
    <w:p w14:paraId="7D7FCEB4" w14:textId="77777777" w:rsidR="00C6376F" w:rsidRDefault="005F311C">
      <w:pPr>
        <w:spacing w:before="40" w:after="40"/>
        <w:ind w:left="360"/>
      </w:pPr>
      <w:r>
        <w:rPr>
          <w:rFonts w:ascii="Arial" w:eastAsia="Arial" w:hAnsi="Arial" w:cs="Arial"/>
          <w:color w:val="052831"/>
          <w:sz w:val="22"/>
          <w:szCs w:val="22"/>
        </w:rPr>
        <w:t>• Confidence score rendered as a percentage using the weighted stage risk formula</w:t>
      </w:r>
    </w:p>
    <w:p w14:paraId="2B29C2EF" w14:textId="77777777" w:rsidR="00C6376F" w:rsidRDefault="005F311C">
      <w:pPr>
        <w:spacing w:before="40" w:after="40"/>
        <w:ind w:left="360"/>
      </w:pPr>
      <w:r>
        <w:rPr>
          <w:rFonts w:ascii="Arial" w:eastAsia="Arial" w:hAnsi="Arial" w:cs="Arial"/>
          <w:color w:val="052831"/>
          <w:sz w:val="22"/>
          <w:szCs w:val="22"/>
        </w:rPr>
        <w:t>• Executive summary is 3–5 sentences, suitable for non-technical CAB members</w:t>
      </w:r>
    </w:p>
    <w:p w14:paraId="7C2801E5" w14:textId="77777777" w:rsidR="00C6376F" w:rsidRDefault="005F311C">
      <w:pPr>
        <w:spacing w:before="40" w:after="40"/>
        <w:ind w:left="360"/>
      </w:pPr>
      <w:r>
        <w:rPr>
          <w:rFonts w:ascii="Arial" w:eastAsia="Arial" w:hAnsi="Arial" w:cs="Arial"/>
          <w:color w:val="052831"/>
          <w:sz w:val="22"/>
          <w:szCs w:val="22"/>
        </w:rPr>
        <w:t>• PDF export includes all release validation stages, identified blockers, AI risk assessment, supporting evidence, and final GO/NO-GO recommendation — generated within 30 seconds</w:t>
      </w:r>
    </w:p>
    <w:p w14:paraId="25DD9B70" w14:textId="77777777" w:rsidR="00C6376F" w:rsidRDefault="005F311C">
      <w:pPr>
        <w:spacing w:before="40" w:after="40"/>
        <w:ind w:left="360"/>
      </w:pPr>
      <w:r>
        <w:rPr>
          <w:rFonts w:ascii="Arial" w:eastAsia="Arial" w:hAnsi="Arial" w:cs="Arial"/>
          <w:color w:val="052831"/>
          <w:sz w:val="22"/>
          <w:szCs w:val="22"/>
        </w:rPr>
        <w:t>• Demo scenario correctly returns NO GO with both scripted blockers detected and cited</w:t>
      </w:r>
    </w:p>
    <w:p w14:paraId="41A0EB3C" w14:textId="77777777" w:rsidR="00C6376F" w:rsidRDefault="005F311C">
      <w:pPr>
        <w:spacing w:before="40" w:after="40"/>
        <w:ind w:left="360"/>
      </w:pPr>
      <w:r>
        <w:rPr>
          <w:rFonts w:ascii="Arial" w:eastAsia="Arial" w:hAnsi="Arial" w:cs="Arial"/>
          <w:color w:val="052831"/>
          <w:sz w:val="22"/>
          <w:szCs w:val="22"/>
        </w:rPr>
        <w:t>• End-to-end flow completes in under 15 minutes</w:t>
      </w:r>
    </w:p>
    <w:p w14:paraId="556D2494"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lastRenderedPageBreak/>
        <w:t>Risks &amp; Assumptions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6376F" w14:paraId="658023EA" w14:textId="77777777">
        <w:tblPrEx>
          <w:tblCellMar>
            <w:top w:w="0" w:type="dxa"/>
            <w:bottom w:w="0" w:type="dxa"/>
          </w:tblCellMar>
        </w:tblPrEx>
        <w:tc>
          <w:tcPr>
            <w:tcW w:w="2800" w:type="dxa"/>
            <w:shd w:val="clear" w:color="auto" w:fill="052831"/>
            <w:tcMar>
              <w:top w:w="80" w:type="dxa"/>
              <w:left w:w="100" w:type="dxa"/>
              <w:bottom w:w="80" w:type="dxa"/>
              <w:right w:w="100" w:type="dxa"/>
            </w:tcMar>
            <w:vAlign w:val="center"/>
          </w:tcPr>
          <w:p w14:paraId="57211C0E" w14:textId="77777777" w:rsidR="00C6376F" w:rsidRDefault="005F311C">
            <w:r>
              <w:rPr>
                <w:rFonts w:ascii="Segoe UI" w:eastAsia="Segoe UI" w:hAnsi="Segoe UI" w:cs="Segoe UI"/>
                <w:b/>
                <w:bCs/>
                <w:color w:val="FFFFFF"/>
              </w:rPr>
              <w:t>Item</w:t>
            </w:r>
          </w:p>
        </w:tc>
        <w:tc>
          <w:tcPr>
            <w:tcW w:w="6400" w:type="dxa"/>
            <w:shd w:val="clear" w:color="auto" w:fill="052831"/>
            <w:tcMar>
              <w:top w:w="80" w:type="dxa"/>
              <w:left w:w="100" w:type="dxa"/>
              <w:bottom w:w="80" w:type="dxa"/>
              <w:right w:w="100" w:type="dxa"/>
            </w:tcMar>
            <w:vAlign w:val="center"/>
          </w:tcPr>
          <w:p w14:paraId="2C3E1A35" w14:textId="77777777" w:rsidR="00C6376F" w:rsidRDefault="005F311C">
            <w:r>
              <w:rPr>
                <w:rFonts w:ascii="Segoe UI" w:eastAsia="Segoe UI" w:hAnsi="Segoe UI" w:cs="Segoe UI"/>
                <w:b/>
                <w:bCs/>
                <w:color w:val="FFFFFF"/>
              </w:rPr>
              <w:t>Detail</w:t>
            </w:r>
          </w:p>
        </w:tc>
      </w:tr>
      <w:tr w:rsidR="00C6376F" w14:paraId="2807E904"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7FEEBED7" w14:textId="77777777" w:rsidR="00C6376F" w:rsidRDefault="005F311C">
            <w:r>
              <w:rPr>
                <w:rFonts w:ascii="Arial" w:eastAsia="Arial" w:hAnsi="Arial" w:cs="Arial"/>
                <w:color w:val="052831"/>
              </w:rPr>
              <w:t>Assumption</w:t>
            </w:r>
          </w:p>
        </w:tc>
        <w:tc>
          <w:tcPr>
            <w:tcW w:w="6400" w:type="dxa"/>
            <w:shd w:val="clear" w:color="auto" w:fill="FFFFFF"/>
            <w:tcMar>
              <w:top w:w="70" w:type="dxa"/>
              <w:left w:w="100" w:type="dxa"/>
              <w:bottom w:w="70" w:type="dxa"/>
              <w:right w:w="100" w:type="dxa"/>
            </w:tcMar>
          </w:tcPr>
          <w:p w14:paraId="051C4175" w14:textId="77777777" w:rsidR="00C6376F" w:rsidRDefault="005F311C">
            <w:r>
              <w:rPr>
                <w:rFonts w:ascii="Arial" w:eastAsia="Arial" w:hAnsi="Arial" w:cs="Arial"/>
                <w:color w:val="052831"/>
              </w:rPr>
              <w:t>All 7 pipeline stages use mocked JSON fixtures representative of real release data</w:t>
            </w:r>
          </w:p>
        </w:tc>
      </w:tr>
      <w:tr w:rsidR="00C6376F" w14:paraId="1C849BE6" w14:textId="77777777">
        <w:tblPrEx>
          <w:tblCellMar>
            <w:top w:w="0" w:type="dxa"/>
            <w:bottom w:w="0" w:type="dxa"/>
          </w:tblCellMar>
        </w:tblPrEx>
        <w:tc>
          <w:tcPr>
            <w:tcW w:w="2800" w:type="dxa"/>
            <w:shd w:val="clear" w:color="auto" w:fill="F0F5F5"/>
            <w:tcMar>
              <w:top w:w="70" w:type="dxa"/>
              <w:left w:w="100" w:type="dxa"/>
              <w:bottom w:w="70" w:type="dxa"/>
              <w:right w:w="100" w:type="dxa"/>
            </w:tcMar>
          </w:tcPr>
          <w:p w14:paraId="52830B2E" w14:textId="77777777" w:rsidR="00C6376F" w:rsidRDefault="005F311C">
            <w:r>
              <w:rPr>
                <w:rFonts w:ascii="Arial" w:eastAsia="Arial" w:hAnsi="Arial" w:cs="Arial"/>
                <w:color w:val="052831"/>
              </w:rPr>
              <w:t>Assumption</w:t>
            </w:r>
          </w:p>
        </w:tc>
        <w:tc>
          <w:tcPr>
            <w:tcW w:w="6400" w:type="dxa"/>
            <w:shd w:val="clear" w:color="auto" w:fill="F0F5F5"/>
            <w:tcMar>
              <w:top w:w="70" w:type="dxa"/>
              <w:left w:w="100" w:type="dxa"/>
              <w:bottom w:w="70" w:type="dxa"/>
              <w:right w:w="100" w:type="dxa"/>
            </w:tcMar>
          </w:tcPr>
          <w:p w14:paraId="0850BD8E" w14:textId="77777777" w:rsidR="00C6376F" w:rsidRDefault="005F311C">
            <w:r>
              <w:rPr>
                <w:rFonts w:ascii="Arial" w:eastAsia="Arial" w:hAnsi="Arial" w:cs="Arial"/>
                <w:color w:val="052831"/>
              </w:rPr>
              <w:t xml:space="preserve">MCP integration pattern is documented and </w:t>
            </w:r>
            <w:proofErr w:type="gramStart"/>
            <w:r>
              <w:rPr>
                <w:rFonts w:ascii="Arial" w:eastAsia="Arial" w:hAnsi="Arial" w:cs="Arial"/>
                <w:color w:val="052831"/>
              </w:rPr>
              <w:t>demo-able</w:t>
            </w:r>
            <w:proofErr w:type="gramEnd"/>
            <w:r>
              <w:rPr>
                <w:rFonts w:ascii="Arial" w:eastAsia="Arial" w:hAnsi="Arial" w:cs="Arial"/>
                <w:color w:val="052831"/>
              </w:rPr>
              <w:t xml:space="preserve"> as an architecture diagram</w:t>
            </w:r>
          </w:p>
        </w:tc>
      </w:tr>
      <w:tr w:rsidR="00C6376F" w14:paraId="16A2C9D0"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265D7995" w14:textId="77777777" w:rsidR="00C6376F" w:rsidRDefault="005F311C">
            <w:r>
              <w:rPr>
                <w:rFonts w:ascii="Arial" w:eastAsia="Arial" w:hAnsi="Arial" w:cs="Arial"/>
                <w:color w:val="052831"/>
              </w:rPr>
              <w:t>Risk</w:t>
            </w:r>
          </w:p>
        </w:tc>
        <w:tc>
          <w:tcPr>
            <w:tcW w:w="6400" w:type="dxa"/>
            <w:shd w:val="clear" w:color="auto" w:fill="FFFFFF"/>
            <w:tcMar>
              <w:top w:w="70" w:type="dxa"/>
              <w:left w:w="100" w:type="dxa"/>
              <w:bottom w:w="70" w:type="dxa"/>
              <w:right w:w="100" w:type="dxa"/>
            </w:tcMar>
          </w:tcPr>
          <w:p w14:paraId="6B0E175A" w14:textId="77777777" w:rsidR="00C6376F" w:rsidRDefault="005F311C">
            <w:r>
              <w:rPr>
                <w:rFonts w:ascii="Arial" w:eastAsia="Arial" w:hAnsi="Arial" w:cs="Arial"/>
                <w:color w:val="052831"/>
              </w:rPr>
              <w:t>AI hallucination on risk reasoning — mitigate by grounding prompts strictly in mock fixture content</w:t>
            </w:r>
          </w:p>
        </w:tc>
      </w:tr>
      <w:tr w:rsidR="00C6376F" w14:paraId="3CD4A703" w14:textId="77777777">
        <w:tblPrEx>
          <w:tblCellMar>
            <w:top w:w="0" w:type="dxa"/>
            <w:bottom w:w="0" w:type="dxa"/>
          </w:tblCellMar>
        </w:tblPrEx>
        <w:tc>
          <w:tcPr>
            <w:tcW w:w="2800" w:type="dxa"/>
            <w:shd w:val="clear" w:color="auto" w:fill="F0F5F5"/>
            <w:tcMar>
              <w:top w:w="70" w:type="dxa"/>
              <w:left w:w="100" w:type="dxa"/>
              <w:bottom w:w="70" w:type="dxa"/>
              <w:right w:w="100" w:type="dxa"/>
            </w:tcMar>
          </w:tcPr>
          <w:p w14:paraId="7E24FC9C" w14:textId="77777777" w:rsidR="00C6376F" w:rsidRDefault="005F311C">
            <w:r>
              <w:rPr>
                <w:rFonts w:ascii="Arial" w:eastAsia="Arial" w:hAnsi="Arial" w:cs="Arial"/>
                <w:color w:val="052831"/>
              </w:rPr>
              <w:t>Risk</w:t>
            </w:r>
          </w:p>
        </w:tc>
        <w:tc>
          <w:tcPr>
            <w:tcW w:w="6400" w:type="dxa"/>
            <w:shd w:val="clear" w:color="auto" w:fill="F0F5F5"/>
            <w:tcMar>
              <w:top w:w="70" w:type="dxa"/>
              <w:left w:w="100" w:type="dxa"/>
              <w:bottom w:w="70" w:type="dxa"/>
              <w:right w:w="100" w:type="dxa"/>
            </w:tcMar>
          </w:tcPr>
          <w:p w14:paraId="6BFBFAE2" w14:textId="77777777" w:rsidR="00C6376F" w:rsidRDefault="005F311C">
            <w:r>
              <w:rPr>
                <w:rFonts w:ascii="Arial" w:eastAsia="Arial" w:hAnsi="Arial" w:cs="Arial"/>
                <w:color w:val="052831"/>
              </w:rPr>
              <w:t>PDF rendering library compatibility — validate on target environment before demo</w:t>
            </w:r>
          </w:p>
        </w:tc>
      </w:tr>
      <w:tr w:rsidR="00C6376F" w14:paraId="7DAB2DDE"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4518021E" w14:textId="77777777" w:rsidR="00C6376F" w:rsidRDefault="005F311C">
            <w:r>
              <w:rPr>
                <w:rFonts w:ascii="Arial" w:eastAsia="Arial" w:hAnsi="Arial" w:cs="Arial"/>
                <w:color w:val="052831"/>
              </w:rPr>
              <w:t>Risk</w:t>
            </w:r>
          </w:p>
        </w:tc>
        <w:tc>
          <w:tcPr>
            <w:tcW w:w="6400" w:type="dxa"/>
            <w:shd w:val="clear" w:color="auto" w:fill="FFFFFF"/>
            <w:tcMar>
              <w:top w:w="70" w:type="dxa"/>
              <w:left w:w="100" w:type="dxa"/>
              <w:bottom w:w="70" w:type="dxa"/>
              <w:right w:w="100" w:type="dxa"/>
            </w:tcMar>
          </w:tcPr>
          <w:p w14:paraId="4516258B" w14:textId="77777777" w:rsidR="00C6376F" w:rsidRDefault="005F311C">
            <w:r>
              <w:rPr>
                <w:rFonts w:ascii="Arial" w:eastAsia="Arial" w:hAnsi="Arial" w:cs="Arial"/>
                <w:color w:val="052831"/>
              </w:rPr>
              <w:t>Demo scenario blockers not clearly visible on screen — mitigate with highlighted Critical Issues panel</w:t>
            </w:r>
          </w:p>
        </w:tc>
      </w:tr>
    </w:tbl>
    <w:p w14:paraId="2B0B9ED4"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Mock Strategy</w:t>
      </w:r>
    </w:p>
    <w:p w14:paraId="77D8E42F" w14:textId="77777777" w:rsidR="00C6376F" w:rsidRDefault="005F311C">
      <w:pPr>
        <w:spacing w:before="60" w:after="60"/>
      </w:pPr>
      <w:r>
        <w:rPr>
          <w:rFonts w:ascii="Arial" w:eastAsia="Arial" w:hAnsi="Arial" w:cs="Arial"/>
          <w:color w:val="052831"/>
          <w:sz w:val="22"/>
          <w:szCs w:val="22"/>
        </w:rPr>
        <w:t>All integrations use static JSON fixtures. Each mock maps to a named production connector for the architecture narrative.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400"/>
      </w:tblGrid>
      <w:tr w:rsidR="00C6376F" w14:paraId="511EF4F3" w14:textId="77777777">
        <w:tblPrEx>
          <w:tblCellMar>
            <w:top w:w="0" w:type="dxa"/>
            <w:bottom w:w="0" w:type="dxa"/>
          </w:tblCellMar>
        </w:tblPrEx>
        <w:tc>
          <w:tcPr>
            <w:tcW w:w="1800" w:type="dxa"/>
            <w:shd w:val="clear" w:color="auto" w:fill="052831"/>
            <w:tcMar>
              <w:top w:w="80" w:type="dxa"/>
              <w:left w:w="100" w:type="dxa"/>
              <w:bottom w:w="80" w:type="dxa"/>
              <w:right w:w="100" w:type="dxa"/>
            </w:tcMar>
            <w:vAlign w:val="center"/>
          </w:tcPr>
          <w:p w14:paraId="56B6CF9E" w14:textId="77777777" w:rsidR="00C6376F" w:rsidRDefault="005F311C">
            <w:r>
              <w:rPr>
                <w:rFonts w:ascii="Segoe UI" w:eastAsia="Segoe UI" w:hAnsi="Segoe UI" w:cs="Segoe UI"/>
                <w:b/>
                <w:bCs/>
                <w:color w:val="FFFFFF"/>
              </w:rPr>
              <w:t>Mock Target</w:t>
            </w:r>
          </w:p>
        </w:tc>
        <w:tc>
          <w:tcPr>
            <w:tcW w:w="2200" w:type="dxa"/>
            <w:shd w:val="clear" w:color="auto" w:fill="052831"/>
            <w:tcMar>
              <w:top w:w="80" w:type="dxa"/>
              <w:left w:w="100" w:type="dxa"/>
              <w:bottom w:w="80" w:type="dxa"/>
              <w:right w:w="100" w:type="dxa"/>
            </w:tcMar>
            <w:vAlign w:val="center"/>
          </w:tcPr>
          <w:p w14:paraId="3E47B3A5" w14:textId="77777777" w:rsidR="00C6376F" w:rsidRDefault="005F311C">
            <w:r>
              <w:rPr>
                <w:rFonts w:ascii="Segoe UI" w:eastAsia="Segoe UI" w:hAnsi="Segoe UI" w:cs="Segoe UI"/>
                <w:b/>
                <w:bCs/>
                <w:color w:val="FFFFFF"/>
              </w:rPr>
              <w:t>Production Connector</w:t>
            </w:r>
          </w:p>
        </w:tc>
        <w:tc>
          <w:tcPr>
            <w:tcW w:w="2800" w:type="dxa"/>
            <w:shd w:val="clear" w:color="auto" w:fill="052831"/>
            <w:tcMar>
              <w:top w:w="80" w:type="dxa"/>
              <w:left w:w="100" w:type="dxa"/>
              <w:bottom w:w="80" w:type="dxa"/>
              <w:right w:w="100" w:type="dxa"/>
            </w:tcMar>
            <w:vAlign w:val="center"/>
          </w:tcPr>
          <w:p w14:paraId="5FC39336" w14:textId="77777777" w:rsidR="00C6376F" w:rsidRDefault="005F311C">
            <w:r>
              <w:rPr>
                <w:rFonts w:ascii="Segoe UI" w:eastAsia="Segoe UI" w:hAnsi="Segoe UI" w:cs="Segoe UI"/>
                <w:b/>
                <w:bCs/>
                <w:color w:val="FFFFFF"/>
              </w:rPr>
              <w:t>Sample State</w:t>
            </w:r>
          </w:p>
        </w:tc>
        <w:tc>
          <w:tcPr>
            <w:tcW w:w="2400" w:type="dxa"/>
            <w:shd w:val="clear" w:color="auto" w:fill="052831"/>
            <w:tcMar>
              <w:top w:w="80" w:type="dxa"/>
              <w:left w:w="100" w:type="dxa"/>
              <w:bottom w:w="80" w:type="dxa"/>
              <w:right w:w="100" w:type="dxa"/>
            </w:tcMar>
            <w:vAlign w:val="center"/>
          </w:tcPr>
          <w:p w14:paraId="6CF36963" w14:textId="77777777" w:rsidR="00C6376F" w:rsidRDefault="005F311C">
            <w:r>
              <w:rPr>
                <w:rFonts w:ascii="Segoe UI" w:eastAsia="Segoe UI" w:hAnsi="Segoe UI" w:cs="Segoe UI"/>
                <w:b/>
                <w:bCs/>
                <w:color w:val="FFFFFF"/>
              </w:rPr>
              <w:t>Scripted Blocker?</w:t>
            </w:r>
          </w:p>
        </w:tc>
      </w:tr>
      <w:tr w:rsidR="00C6376F" w14:paraId="60905E94"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2BA7DD07" w14:textId="77777777" w:rsidR="00C6376F" w:rsidRDefault="005F311C">
            <w:r>
              <w:rPr>
                <w:rFonts w:ascii="Arial" w:eastAsia="Arial" w:hAnsi="Arial" w:cs="Arial"/>
                <w:color w:val="052831"/>
              </w:rPr>
              <w:t>Jira</w:t>
            </w:r>
          </w:p>
        </w:tc>
        <w:tc>
          <w:tcPr>
            <w:tcW w:w="2200" w:type="dxa"/>
            <w:shd w:val="clear" w:color="auto" w:fill="FFFFFF"/>
            <w:tcMar>
              <w:top w:w="70" w:type="dxa"/>
              <w:left w:w="100" w:type="dxa"/>
              <w:bottom w:w="70" w:type="dxa"/>
              <w:right w:w="100" w:type="dxa"/>
            </w:tcMar>
          </w:tcPr>
          <w:p w14:paraId="61D72BB5" w14:textId="77777777" w:rsidR="00C6376F" w:rsidRDefault="005F311C">
            <w:r>
              <w:rPr>
                <w:rFonts w:ascii="Arial" w:eastAsia="Arial" w:hAnsi="Arial" w:cs="Arial"/>
                <w:color w:val="052831"/>
              </w:rPr>
              <w:t>Jira MCP</w:t>
            </w:r>
          </w:p>
        </w:tc>
        <w:tc>
          <w:tcPr>
            <w:tcW w:w="2800" w:type="dxa"/>
            <w:shd w:val="clear" w:color="auto" w:fill="FFFFFF"/>
            <w:tcMar>
              <w:top w:w="70" w:type="dxa"/>
              <w:left w:w="100" w:type="dxa"/>
              <w:bottom w:w="70" w:type="dxa"/>
              <w:right w:w="100" w:type="dxa"/>
            </w:tcMar>
          </w:tcPr>
          <w:p w14:paraId="16B4BA9D" w14:textId="77777777" w:rsidR="00C6376F" w:rsidRDefault="005F311C">
            <w:r>
              <w:rPr>
                <w:rFonts w:ascii="Arial" w:eastAsia="Arial" w:hAnsi="Arial" w:cs="Arial"/>
                <w:color w:val="052831"/>
              </w:rPr>
              <w:t>18/20 stories done, 0 blockers</w:t>
            </w:r>
          </w:p>
        </w:tc>
        <w:tc>
          <w:tcPr>
            <w:tcW w:w="2400" w:type="dxa"/>
            <w:shd w:val="clear" w:color="auto" w:fill="FFFFFF"/>
            <w:tcMar>
              <w:top w:w="70" w:type="dxa"/>
              <w:left w:w="100" w:type="dxa"/>
              <w:bottom w:w="70" w:type="dxa"/>
              <w:right w:w="100" w:type="dxa"/>
            </w:tcMar>
          </w:tcPr>
          <w:p w14:paraId="2E67D62E" w14:textId="77777777" w:rsidR="00C6376F" w:rsidRDefault="005F311C">
            <w:r>
              <w:rPr>
                <w:rFonts w:ascii="Arial" w:eastAsia="Arial" w:hAnsi="Arial" w:cs="Arial"/>
                <w:color w:val="052831"/>
              </w:rPr>
              <w:t>No</w:t>
            </w:r>
          </w:p>
        </w:tc>
      </w:tr>
      <w:tr w:rsidR="00C6376F" w14:paraId="33A444F7" w14:textId="77777777">
        <w:tblPrEx>
          <w:tblCellMar>
            <w:top w:w="0" w:type="dxa"/>
            <w:bottom w:w="0" w:type="dxa"/>
          </w:tblCellMar>
        </w:tblPrEx>
        <w:tc>
          <w:tcPr>
            <w:tcW w:w="1800" w:type="dxa"/>
            <w:shd w:val="clear" w:color="auto" w:fill="F0F5F5"/>
            <w:tcMar>
              <w:top w:w="70" w:type="dxa"/>
              <w:left w:w="100" w:type="dxa"/>
              <w:bottom w:w="70" w:type="dxa"/>
              <w:right w:w="100" w:type="dxa"/>
            </w:tcMar>
          </w:tcPr>
          <w:p w14:paraId="1D8932A1" w14:textId="77777777" w:rsidR="00C6376F" w:rsidRDefault="005F311C">
            <w:r>
              <w:rPr>
                <w:rFonts w:ascii="Arial" w:eastAsia="Arial" w:hAnsi="Arial" w:cs="Arial"/>
                <w:color w:val="052831"/>
              </w:rPr>
              <w:t>GitHub</w:t>
            </w:r>
          </w:p>
        </w:tc>
        <w:tc>
          <w:tcPr>
            <w:tcW w:w="2200" w:type="dxa"/>
            <w:shd w:val="clear" w:color="auto" w:fill="F0F5F5"/>
            <w:tcMar>
              <w:top w:w="70" w:type="dxa"/>
              <w:left w:w="100" w:type="dxa"/>
              <w:bottom w:w="70" w:type="dxa"/>
              <w:right w:w="100" w:type="dxa"/>
            </w:tcMar>
          </w:tcPr>
          <w:p w14:paraId="3367FC51" w14:textId="77777777" w:rsidR="00C6376F" w:rsidRDefault="005F311C">
            <w:r>
              <w:rPr>
                <w:rFonts w:ascii="Arial" w:eastAsia="Arial" w:hAnsi="Arial" w:cs="Arial"/>
                <w:color w:val="052831"/>
              </w:rPr>
              <w:t>GitHub MCP</w:t>
            </w:r>
          </w:p>
        </w:tc>
        <w:tc>
          <w:tcPr>
            <w:tcW w:w="2800" w:type="dxa"/>
            <w:shd w:val="clear" w:color="auto" w:fill="F0F5F5"/>
            <w:tcMar>
              <w:top w:w="70" w:type="dxa"/>
              <w:left w:w="100" w:type="dxa"/>
              <w:bottom w:w="70" w:type="dxa"/>
              <w:right w:w="100" w:type="dxa"/>
            </w:tcMar>
          </w:tcPr>
          <w:p w14:paraId="37478140" w14:textId="77777777" w:rsidR="00C6376F" w:rsidRDefault="005F311C">
            <w:r>
              <w:rPr>
                <w:rFonts w:ascii="Arial" w:eastAsia="Arial" w:hAnsi="Arial" w:cs="Arial"/>
                <w:color w:val="052831"/>
              </w:rPr>
              <w:t>1 PR open against release branch</w:t>
            </w:r>
          </w:p>
        </w:tc>
        <w:tc>
          <w:tcPr>
            <w:tcW w:w="2400" w:type="dxa"/>
            <w:shd w:val="clear" w:color="auto" w:fill="F0F5F5"/>
            <w:tcMar>
              <w:top w:w="70" w:type="dxa"/>
              <w:left w:w="100" w:type="dxa"/>
              <w:bottom w:w="70" w:type="dxa"/>
              <w:right w:w="100" w:type="dxa"/>
            </w:tcMar>
          </w:tcPr>
          <w:p w14:paraId="4D363536" w14:textId="77777777" w:rsidR="00C6376F" w:rsidRDefault="005F311C">
            <w:r>
              <w:rPr>
                <w:rFonts w:ascii="Arial" w:eastAsia="Arial" w:hAnsi="Arial" w:cs="Arial"/>
                <w:color w:val="052831"/>
              </w:rPr>
              <w:t>Yes — unmerged hotfix PR</w:t>
            </w:r>
          </w:p>
        </w:tc>
      </w:tr>
      <w:tr w:rsidR="00C6376F" w14:paraId="1CA00516"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3FF6843C" w14:textId="77777777" w:rsidR="00C6376F" w:rsidRDefault="005F311C">
            <w:r>
              <w:rPr>
                <w:rFonts w:ascii="Arial" w:eastAsia="Arial" w:hAnsi="Arial" w:cs="Arial"/>
                <w:color w:val="052831"/>
              </w:rPr>
              <w:t>SonarQube</w:t>
            </w:r>
          </w:p>
        </w:tc>
        <w:tc>
          <w:tcPr>
            <w:tcW w:w="2200" w:type="dxa"/>
            <w:shd w:val="clear" w:color="auto" w:fill="FFFFFF"/>
            <w:tcMar>
              <w:top w:w="70" w:type="dxa"/>
              <w:left w:w="100" w:type="dxa"/>
              <w:bottom w:w="70" w:type="dxa"/>
              <w:right w:w="100" w:type="dxa"/>
            </w:tcMar>
          </w:tcPr>
          <w:p w14:paraId="6F3BB6BA" w14:textId="77777777" w:rsidR="00C6376F" w:rsidRDefault="005F311C">
            <w:r>
              <w:rPr>
                <w:rFonts w:ascii="Arial" w:eastAsia="Arial" w:hAnsi="Arial" w:cs="Arial"/>
                <w:color w:val="052831"/>
              </w:rPr>
              <w:t>SonarQube API</w:t>
            </w:r>
          </w:p>
        </w:tc>
        <w:tc>
          <w:tcPr>
            <w:tcW w:w="2800" w:type="dxa"/>
            <w:shd w:val="clear" w:color="auto" w:fill="FFFFFF"/>
            <w:tcMar>
              <w:top w:w="70" w:type="dxa"/>
              <w:left w:w="100" w:type="dxa"/>
              <w:bottom w:w="70" w:type="dxa"/>
              <w:right w:w="100" w:type="dxa"/>
            </w:tcMar>
          </w:tcPr>
          <w:p w14:paraId="60DE01F8" w14:textId="77777777" w:rsidR="00C6376F" w:rsidRDefault="005F311C">
            <w:r>
              <w:rPr>
                <w:rFonts w:ascii="Arial" w:eastAsia="Arial" w:hAnsi="Arial" w:cs="Arial"/>
                <w:color w:val="052831"/>
              </w:rPr>
              <w:t>Quality gate passed, 2 code smells</w:t>
            </w:r>
          </w:p>
        </w:tc>
        <w:tc>
          <w:tcPr>
            <w:tcW w:w="2400" w:type="dxa"/>
            <w:shd w:val="clear" w:color="auto" w:fill="FFFFFF"/>
            <w:tcMar>
              <w:top w:w="70" w:type="dxa"/>
              <w:left w:w="100" w:type="dxa"/>
              <w:bottom w:w="70" w:type="dxa"/>
              <w:right w:w="100" w:type="dxa"/>
            </w:tcMar>
          </w:tcPr>
          <w:p w14:paraId="3FFE5F6F" w14:textId="77777777" w:rsidR="00C6376F" w:rsidRDefault="005F311C">
            <w:r>
              <w:rPr>
                <w:rFonts w:ascii="Arial" w:eastAsia="Arial" w:hAnsi="Arial" w:cs="Arial"/>
                <w:color w:val="052831"/>
              </w:rPr>
              <w:t>No</w:t>
            </w:r>
          </w:p>
        </w:tc>
      </w:tr>
      <w:tr w:rsidR="00C6376F" w14:paraId="4CF8AC7F" w14:textId="77777777">
        <w:tblPrEx>
          <w:tblCellMar>
            <w:top w:w="0" w:type="dxa"/>
            <w:bottom w:w="0" w:type="dxa"/>
          </w:tblCellMar>
        </w:tblPrEx>
        <w:tc>
          <w:tcPr>
            <w:tcW w:w="1800" w:type="dxa"/>
            <w:shd w:val="clear" w:color="auto" w:fill="F0F5F5"/>
            <w:tcMar>
              <w:top w:w="70" w:type="dxa"/>
              <w:left w:w="100" w:type="dxa"/>
              <w:bottom w:w="70" w:type="dxa"/>
              <w:right w:w="100" w:type="dxa"/>
            </w:tcMar>
          </w:tcPr>
          <w:p w14:paraId="41EFD5B7" w14:textId="77777777" w:rsidR="00C6376F" w:rsidRDefault="005F311C">
            <w:r>
              <w:rPr>
                <w:rFonts w:ascii="Arial" w:eastAsia="Arial" w:hAnsi="Arial" w:cs="Arial"/>
                <w:color w:val="052831"/>
              </w:rPr>
              <w:t>Test Results</w:t>
            </w:r>
          </w:p>
        </w:tc>
        <w:tc>
          <w:tcPr>
            <w:tcW w:w="2200" w:type="dxa"/>
            <w:shd w:val="clear" w:color="auto" w:fill="F0F5F5"/>
            <w:tcMar>
              <w:top w:w="70" w:type="dxa"/>
              <w:left w:w="100" w:type="dxa"/>
              <w:bottom w:w="70" w:type="dxa"/>
              <w:right w:w="100" w:type="dxa"/>
            </w:tcMar>
          </w:tcPr>
          <w:p w14:paraId="28E69437" w14:textId="77777777" w:rsidR="00C6376F" w:rsidRDefault="005F311C">
            <w:r>
              <w:rPr>
                <w:rFonts w:ascii="Arial" w:eastAsia="Arial" w:hAnsi="Arial" w:cs="Arial"/>
                <w:color w:val="052831"/>
              </w:rPr>
              <w:t>CI/CD pipeline API</w:t>
            </w:r>
          </w:p>
        </w:tc>
        <w:tc>
          <w:tcPr>
            <w:tcW w:w="2800" w:type="dxa"/>
            <w:shd w:val="clear" w:color="auto" w:fill="F0F5F5"/>
            <w:tcMar>
              <w:top w:w="70" w:type="dxa"/>
              <w:left w:w="100" w:type="dxa"/>
              <w:bottom w:w="70" w:type="dxa"/>
              <w:right w:w="100" w:type="dxa"/>
            </w:tcMar>
          </w:tcPr>
          <w:p w14:paraId="30D0C771" w14:textId="77777777" w:rsidR="00C6376F" w:rsidRDefault="005F311C">
            <w:r>
              <w:rPr>
                <w:rFonts w:ascii="Arial" w:eastAsia="Arial" w:hAnsi="Arial" w:cs="Arial"/>
                <w:color w:val="052831"/>
              </w:rPr>
              <w:t>487/500 passed, 5 failed (non-critical)</w:t>
            </w:r>
          </w:p>
        </w:tc>
        <w:tc>
          <w:tcPr>
            <w:tcW w:w="2400" w:type="dxa"/>
            <w:shd w:val="clear" w:color="auto" w:fill="F0F5F5"/>
            <w:tcMar>
              <w:top w:w="70" w:type="dxa"/>
              <w:left w:w="100" w:type="dxa"/>
              <w:bottom w:w="70" w:type="dxa"/>
              <w:right w:w="100" w:type="dxa"/>
            </w:tcMar>
          </w:tcPr>
          <w:p w14:paraId="547FFC23" w14:textId="77777777" w:rsidR="00C6376F" w:rsidRDefault="005F311C">
            <w:r>
              <w:rPr>
                <w:rFonts w:ascii="Arial" w:eastAsia="Arial" w:hAnsi="Arial" w:cs="Arial"/>
                <w:color w:val="052831"/>
              </w:rPr>
              <w:t>No</w:t>
            </w:r>
          </w:p>
        </w:tc>
      </w:tr>
      <w:tr w:rsidR="00C6376F" w14:paraId="0786B271"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7AFE5F8C" w14:textId="77777777" w:rsidR="00C6376F" w:rsidRDefault="005F311C">
            <w:r>
              <w:rPr>
                <w:rFonts w:ascii="Arial" w:eastAsia="Arial" w:hAnsi="Arial" w:cs="Arial"/>
                <w:color w:val="052831"/>
              </w:rPr>
              <w:t>Azure Monitor</w:t>
            </w:r>
          </w:p>
        </w:tc>
        <w:tc>
          <w:tcPr>
            <w:tcW w:w="2200" w:type="dxa"/>
            <w:shd w:val="clear" w:color="auto" w:fill="FFFFFF"/>
            <w:tcMar>
              <w:top w:w="70" w:type="dxa"/>
              <w:left w:w="100" w:type="dxa"/>
              <w:bottom w:w="70" w:type="dxa"/>
              <w:right w:w="100" w:type="dxa"/>
            </w:tcMar>
          </w:tcPr>
          <w:p w14:paraId="0BA46EC8" w14:textId="77777777" w:rsidR="00C6376F" w:rsidRDefault="005F311C">
            <w:r>
              <w:rPr>
                <w:rFonts w:ascii="Arial" w:eastAsia="Arial" w:hAnsi="Arial" w:cs="Arial"/>
                <w:color w:val="052831"/>
              </w:rPr>
              <w:t>Azure Monitor API</w:t>
            </w:r>
          </w:p>
        </w:tc>
        <w:tc>
          <w:tcPr>
            <w:tcW w:w="2800" w:type="dxa"/>
            <w:shd w:val="clear" w:color="auto" w:fill="FFFFFF"/>
            <w:tcMar>
              <w:top w:w="70" w:type="dxa"/>
              <w:left w:w="100" w:type="dxa"/>
              <w:bottom w:w="70" w:type="dxa"/>
              <w:right w:w="100" w:type="dxa"/>
            </w:tcMar>
          </w:tcPr>
          <w:p w14:paraId="3E3A97F1" w14:textId="77777777" w:rsidR="00C6376F" w:rsidRDefault="005F311C">
            <w:r>
              <w:rPr>
                <w:rFonts w:ascii="Arial" w:eastAsia="Arial" w:hAnsi="Arial" w:cs="Arial"/>
                <w:color w:val="052831"/>
              </w:rPr>
              <w:t>99.8% availability, 3 warnings, 0 critical</w:t>
            </w:r>
          </w:p>
        </w:tc>
        <w:tc>
          <w:tcPr>
            <w:tcW w:w="2400" w:type="dxa"/>
            <w:shd w:val="clear" w:color="auto" w:fill="FFFFFF"/>
            <w:tcMar>
              <w:top w:w="70" w:type="dxa"/>
              <w:left w:w="100" w:type="dxa"/>
              <w:bottom w:w="70" w:type="dxa"/>
              <w:right w:w="100" w:type="dxa"/>
            </w:tcMar>
          </w:tcPr>
          <w:p w14:paraId="68E3D59C" w14:textId="77777777" w:rsidR="00C6376F" w:rsidRDefault="005F311C">
            <w:r>
              <w:rPr>
                <w:rFonts w:ascii="Arial" w:eastAsia="Arial" w:hAnsi="Arial" w:cs="Arial"/>
                <w:color w:val="052831"/>
              </w:rPr>
              <w:t>No</w:t>
            </w:r>
          </w:p>
        </w:tc>
      </w:tr>
      <w:tr w:rsidR="00C6376F" w14:paraId="2F741AA7" w14:textId="77777777">
        <w:tblPrEx>
          <w:tblCellMar>
            <w:top w:w="0" w:type="dxa"/>
            <w:bottom w:w="0" w:type="dxa"/>
          </w:tblCellMar>
        </w:tblPrEx>
        <w:tc>
          <w:tcPr>
            <w:tcW w:w="1800" w:type="dxa"/>
            <w:shd w:val="clear" w:color="auto" w:fill="F0F5F5"/>
            <w:tcMar>
              <w:top w:w="70" w:type="dxa"/>
              <w:left w:w="100" w:type="dxa"/>
              <w:bottom w:w="70" w:type="dxa"/>
              <w:right w:w="100" w:type="dxa"/>
            </w:tcMar>
          </w:tcPr>
          <w:p w14:paraId="55785AB0" w14:textId="77777777" w:rsidR="00C6376F" w:rsidRDefault="005F311C">
            <w:r>
              <w:rPr>
                <w:rFonts w:ascii="Arial" w:eastAsia="Arial" w:hAnsi="Arial" w:cs="Arial"/>
                <w:color w:val="052831"/>
              </w:rPr>
              <w:t>OWASP / Compliance</w:t>
            </w:r>
          </w:p>
        </w:tc>
        <w:tc>
          <w:tcPr>
            <w:tcW w:w="2200" w:type="dxa"/>
            <w:shd w:val="clear" w:color="auto" w:fill="F0F5F5"/>
            <w:tcMar>
              <w:top w:w="70" w:type="dxa"/>
              <w:left w:w="100" w:type="dxa"/>
              <w:bottom w:w="70" w:type="dxa"/>
              <w:right w:w="100" w:type="dxa"/>
            </w:tcMar>
          </w:tcPr>
          <w:p w14:paraId="053BF047" w14:textId="77777777" w:rsidR="00C6376F" w:rsidRDefault="005F311C">
            <w:r>
              <w:rPr>
                <w:rFonts w:ascii="Arial" w:eastAsia="Arial" w:hAnsi="Arial" w:cs="Arial"/>
                <w:color w:val="052831"/>
              </w:rPr>
              <w:t>OWASP scanner API</w:t>
            </w:r>
          </w:p>
        </w:tc>
        <w:tc>
          <w:tcPr>
            <w:tcW w:w="2800" w:type="dxa"/>
            <w:shd w:val="clear" w:color="auto" w:fill="F0F5F5"/>
            <w:tcMar>
              <w:top w:w="70" w:type="dxa"/>
              <w:left w:w="100" w:type="dxa"/>
              <w:bottom w:w="70" w:type="dxa"/>
              <w:right w:w="100" w:type="dxa"/>
            </w:tcMar>
          </w:tcPr>
          <w:p w14:paraId="677D7B34" w14:textId="77777777" w:rsidR="00C6376F" w:rsidRDefault="005F311C">
            <w:r>
              <w:rPr>
                <w:rFonts w:ascii="Arial" w:eastAsia="Arial" w:hAnsi="Arial" w:cs="Arial"/>
                <w:color w:val="052831"/>
              </w:rPr>
              <w:t>No critical CVEs, 2 medium findings</w:t>
            </w:r>
          </w:p>
        </w:tc>
        <w:tc>
          <w:tcPr>
            <w:tcW w:w="2400" w:type="dxa"/>
            <w:shd w:val="clear" w:color="auto" w:fill="F0F5F5"/>
            <w:tcMar>
              <w:top w:w="70" w:type="dxa"/>
              <w:left w:w="100" w:type="dxa"/>
              <w:bottom w:w="70" w:type="dxa"/>
              <w:right w:w="100" w:type="dxa"/>
            </w:tcMar>
          </w:tcPr>
          <w:p w14:paraId="53EC688F" w14:textId="77777777" w:rsidR="00C6376F" w:rsidRDefault="005F311C">
            <w:r>
              <w:rPr>
                <w:rFonts w:ascii="Arial" w:eastAsia="Arial" w:hAnsi="Arial" w:cs="Arial"/>
                <w:color w:val="052831"/>
              </w:rPr>
              <w:t>No</w:t>
            </w:r>
          </w:p>
        </w:tc>
      </w:tr>
      <w:tr w:rsidR="00C6376F" w14:paraId="0EA1B052"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142F574E" w14:textId="77777777" w:rsidR="00C6376F" w:rsidRDefault="005F311C">
            <w:r>
              <w:rPr>
                <w:rFonts w:ascii="Arial" w:eastAsia="Arial" w:hAnsi="Arial" w:cs="Arial"/>
                <w:color w:val="052831"/>
              </w:rPr>
              <w:t>Deployment Config</w:t>
            </w:r>
          </w:p>
        </w:tc>
        <w:tc>
          <w:tcPr>
            <w:tcW w:w="2200" w:type="dxa"/>
            <w:shd w:val="clear" w:color="auto" w:fill="FFFFFF"/>
            <w:tcMar>
              <w:top w:w="70" w:type="dxa"/>
              <w:left w:w="100" w:type="dxa"/>
              <w:bottom w:w="70" w:type="dxa"/>
              <w:right w:w="100" w:type="dxa"/>
            </w:tcMar>
          </w:tcPr>
          <w:p w14:paraId="77350E9E" w14:textId="77777777" w:rsidR="00C6376F" w:rsidRDefault="005F311C">
            <w:r>
              <w:rPr>
                <w:rFonts w:ascii="Arial" w:eastAsia="Arial" w:hAnsi="Arial" w:cs="Arial"/>
                <w:color w:val="052831"/>
              </w:rPr>
              <w:t>Config management API</w:t>
            </w:r>
          </w:p>
        </w:tc>
        <w:tc>
          <w:tcPr>
            <w:tcW w:w="2800" w:type="dxa"/>
            <w:shd w:val="clear" w:color="auto" w:fill="FFFFFF"/>
            <w:tcMar>
              <w:top w:w="70" w:type="dxa"/>
              <w:left w:w="100" w:type="dxa"/>
              <w:bottom w:w="70" w:type="dxa"/>
              <w:right w:w="100" w:type="dxa"/>
            </w:tcMar>
          </w:tcPr>
          <w:p w14:paraId="497EC7F2" w14:textId="77777777" w:rsidR="00C6376F" w:rsidRDefault="005F311C">
            <w:r>
              <w:rPr>
                <w:rFonts w:ascii="Arial" w:eastAsia="Arial" w:hAnsi="Arial" w:cs="Arial"/>
                <w:color w:val="052831"/>
              </w:rPr>
              <w:t>Missing external API config key</w:t>
            </w:r>
          </w:p>
        </w:tc>
        <w:tc>
          <w:tcPr>
            <w:tcW w:w="2400" w:type="dxa"/>
            <w:shd w:val="clear" w:color="auto" w:fill="FFFFFF"/>
            <w:tcMar>
              <w:top w:w="70" w:type="dxa"/>
              <w:left w:w="100" w:type="dxa"/>
              <w:bottom w:w="70" w:type="dxa"/>
              <w:right w:w="100" w:type="dxa"/>
            </w:tcMar>
          </w:tcPr>
          <w:p w14:paraId="1FC97532" w14:textId="77777777" w:rsidR="00C6376F" w:rsidRDefault="005F311C">
            <w:r>
              <w:rPr>
                <w:rFonts w:ascii="Arial" w:eastAsia="Arial" w:hAnsi="Arial" w:cs="Arial"/>
                <w:color w:val="052831"/>
              </w:rPr>
              <w:t>Yes — missing config</w:t>
            </w:r>
          </w:p>
        </w:tc>
      </w:tr>
      <w:tr w:rsidR="00C6376F" w14:paraId="4FE180AA" w14:textId="77777777">
        <w:tblPrEx>
          <w:tblCellMar>
            <w:top w:w="0" w:type="dxa"/>
            <w:bottom w:w="0" w:type="dxa"/>
          </w:tblCellMar>
        </w:tblPrEx>
        <w:tc>
          <w:tcPr>
            <w:tcW w:w="1800" w:type="dxa"/>
            <w:shd w:val="clear" w:color="auto" w:fill="F0F5F5"/>
            <w:tcMar>
              <w:top w:w="70" w:type="dxa"/>
              <w:left w:w="100" w:type="dxa"/>
              <w:bottom w:w="70" w:type="dxa"/>
              <w:right w:w="100" w:type="dxa"/>
            </w:tcMar>
          </w:tcPr>
          <w:p w14:paraId="6BF5F342" w14:textId="77777777" w:rsidR="00C6376F" w:rsidRDefault="005F311C">
            <w:r>
              <w:rPr>
                <w:rFonts w:ascii="Arial" w:eastAsia="Arial" w:hAnsi="Arial" w:cs="Arial"/>
                <w:color w:val="052831"/>
              </w:rPr>
              <w:t>Stress Test</w:t>
            </w:r>
          </w:p>
        </w:tc>
        <w:tc>
          <w:tcPr>
            <w:tcW w:w="2200" w:type="dxa"/>
            <w:shd w:val="clear" w:color="auto" w:fill="F0F5F5"/>
            <w:tcMar>
              <w:top w:w="70" w:type="dxa"/>
              <w:left w:w="100" w:type="dxa"/>
              <w:bottom w:w="70" w:type="dxa"/>
              <w:right w:w="100" w:type="dxa"/>
            </w:tcMar>
          </w:tcPr>
          <w:p w14:paraId="55821107" w14:textId="410FAE78" w:rsidR="00C6376F" w:rsidRDefault="005F311C">
            <w:r>
              <w:rPr>
                <w:rFonts w:ascii="Arial" w:eastAsia="Arial" w:hAnsi="Arial" w:cs="Arial"/>
                <w:color w:val="052831"/>
              </w:rPr>
              <w:t xml:space="preserve">Load test runner </w:t>
            </w:r>
            <w:proofErr w:type="gramStart"/>
            <w:r>
              <w:rPr>
                <w:rFonts w:ascii="Arial" w:eastAsia="Arial" w:hAnsi="Arial" w:cs="Arial"/>
                <w:color w:val="052831"/>
              </w:rPr>
              <w:t>API</w:t>
            </w:r>
            <w:r w:rsidR="00DA064C">
              <w:rPr>
                <w:rFonts w:ascii="Arial" w:eastAsia="Arial" w:hAnsi="Arial" w:cs="Arial"/>
                <w:color w:val="052831"/>
              </w:rPr>
              <w:t>(</w:t>
            </w:r>
            <w:proofErr w:type="gramEnd"/>
            <w:r w:rsidR="00DA064C">
              <w:rPr>
                <w:rFonts w:ascii="Arial" w:eastAsia="Arial" w:hAnsi="Arial" w:cs="Arial"/>
                <w:color w:val="052831"/>
              </w:rPr>
              <w:t>human in loop)</w:t>
            </w:r>
          </w:p>
        </w:tc>
        <w:tc>
          <w:tcPr>
            <w:tcW w:w="2800" w:type="dxa"/>
            <w:shd w:val="clear" w:color="auto" w:fill="F0F5F5"/>
            <w:tcMar>
              <w:top w:w="70" w:type="dxa"/>
              <w:left w:w="100" w:type="dxa"/>
              <w:bottom w:w="70" w:type="dxa"/>
              <w:right w:w="100" w:type="dxa"/>
            </w:tcMar>
          </w:tcPr>
          <w:p w14:paraId="79D422AA" w14:textId="77777777" w:rsidR="00C6376F" w:rsidRDefault="005F311C">
            <w:r>
              <w:rPr>
                <w:rFonts w:ascii="Arial" w:eastAsia="Arial" w:hAnsi="Arial" w:cs="Arial"/>
                <w:color w:val="052831"/>
              </w:rPr>
              <w:t>P95 320ms, 0 errors at 500 RPS</w:t>
            </w:r>
          </w:p>
        </w:tc>
        <w:tc>
          <w:tcPr>
            <w:tcW w:w="2400" w:type="dxa"/>
            <w:shd w:val="clear" w:color="auto" w:fill="F0F5F5"/>
            <w:tcMar>
              <w:top w:w="70" w:type="dxa"/>
              <w:left w:w="100" w:type="dxa"/>
              <w:bottom w:w="70" w:type="dxa"/>
              <w:right w:w="100" w:type="dxa"/>
            </w:tcMar>
          </w:tcPr>
          <w:p w14:paraId="5A42CDE4" w14:textId="77777777" w:rsidR="00C6376F" w:rsidRDefault="005F311C">
            <w:r>
              <w:rPr>
                <w:rFonts w:ascii="Arial" w:eastAsia="Arial" w:hAnsi="Arial" w:cs="Arial"/>
                <w:color w:val="052831"/>
              </w:rPr>
              <w:t>No</w:t>
            </w:r>
          </w:p>
        </w:tc>
      </w:tr>
    </w:tbl>
    <w:p w14:paraId="1911D59F" w14:textId="77777777" w:rsidR="00C6376F" w:rsidRDefault="005F311C">
      <w:pPr>
        <w:pBdr>
          <w:bottom w:val="single" w:sz="6" w:space="0" w:color="00C6C2"/>
        </w:pBdr>
        <w:spacing w:before="320" w:after="160"/>
      </w:pPr>
      <w:r>
        <w:rPr>
          <w:rFonts w:ascii="Segoe UI" w:eastAsia="Segoe UI" w:hAnsi="Segoe UI" w:cs="Segoe UI"/>
          <w:b/>
          <w:bCs/>
          <w:color w:val="052831"/>
          <w:sz w:val="36"/>
          <w:szCs w:val="36"/>
        </w:rPr>
        <w:t>Success Metrics</w:t>
      </w:r>
    </w:p>
    <w:p w14:paraId="5C3D02C3" w14:textId="77777777" w:rsidR="00C6376F" w:rsidRDefault="005F311C">
      <w:pPr>
        <w:spacing w:before="40" w:after="40"/>
        <w:ind w:left="360"/>
      </w:pPr>
      <w:r>
        <w:rPr>
          <w:rFonts w:ascii="Arial" w:eastAsia="Arial" w:hAnsi="Arial" w:cs="Arial"/>
          <w:color w:val="052831"/>
          <w:sz w:val="22"/>
          <w:szCs w:val="22"/>
        </w:rPr>
        <w:t>• Validation time reduced by ≥95% — from 2–4 hours to under 15 minutes per release</w:t>
      </w:r>
    </w:p>
    <w:p w14:paraId="2B9FD00D" w14:textId="77777777" w:rsidR="00C6376F" w:rsidRDefault="005F311C">
      <w:pPr>
        <w:spacing w:before="40" w:after="40"/>
        <w:ind w:left="360"/>
      </w:pPr>
      <w:r>
        <w:rPr>
          <w:rFonts w:ascii="Arial" w:eastAsia="Arial" w:hAnsi="Arial" w:cs="Arial"/>
          <w:color w:val="052831"/>
          <w:sz w:val="22"/>
          <w:szCs w:val="22"/>
        </w:rPr>
        <w:t>• Detects all predefined blockers in the mocked release dataset, validated against the demo scenarios used during the hackathon</w:t>
      </w:r>
    </w:p>
    <w:p w14:paraId="2CFD5B11" w14:textId="77777777" w:rsidR="00C6376F" w:rsidRDefault="005F311C">
      <w:pPr>
        <w:spacing w:before="40" w:after="40"/>
        <w:ind w:left="360"/>
      </w:pPr>
      <w:r>
        <w:rPr>
          <w:rFonts w:ascii="Arial" w:eastAsia="Arial" w:hAnsi="Arial" w:cs="Arial"/>
          <w:color w:val="052831"/>
          <w:sz w:val="22"/>
          <w:szCs w:val="22"/>
        </w:rPr>
        <w:t>• GO/NO-GO decision consistency ≥95% — same inputs produce the same recommendation regardless of coordinator</w:t>
      </w:r>
    </w:p>
    <w:sectPr w:rsidR="00C6376F">
      <w:footerReference w:type="even" r:id="rId7"/>
      <w:footerReference w:type="default" r:id="rId8"/>
      <w:footerReference w:type="firs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8E8B" w14:textId="77777777" w:rsidR="005F311C" w:rsidRDefault="005F311C" w:rsidP="00DA064C">
      <w:r>
        <w:separator/>
      </w:r>
    </w:p>
  </w:endnote>
  <w:endnote w:type="continuationSeparator" w:id="0">
    <w:p w14:paraId="56C22BB4" w14:textId="77777777" w:rsidR="005F311C" w:rsidRDefault="005F311C" w:rsidP="00DA0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56C3" w14:textId="66CE8AAB" w:rsidR="00DA064C" w:rsidRDefault="00DA064C">
    <w:pPr>
      <w:pStyle w:val="Footer"/>
    </w:pPr>
    <w:r>
      <w:rPr>
        <w:noProof/>
      </w:rPr>
      <mc:AlternateContent>
        <mc:Choice Requires="wps">
          <w:drawing>
            <wp:anchor distT="0" distB="0" distL="0" distR="0" simplePos="0" relativeHeight="251659264" behindDoc="0" locked="0" layoutInCell="1" allowOverlap="1" wp14:anchorId="1CAAA93A" wp14:editId="1F384ED3">
              <wp:simplePos x="635" y="635"/>
              <wp:positionH relativeFrom="page">
                <wp:align>left</wp:align>
              </wp:positionH>
              <wp:positionV relativeFrom="page">
                <wp:align>bottom</wp:align>
              </wp:positionV>
              <wp:extent cx="1096645" cy="283210"/>
              <wp:effectExtent l="0" t="0" r="8255" b="0"/>
              <wp:wrapNone/>
              <wp:docPr id="1836949544"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6645" cy="283210"/>
                      </a:xfrm>
                      <a:prstGeom prst="rect">
                        <a:avLst/>
                      </a:prstGeom>
                      <a:noFill/>
                      <a:ln>
                        <a:noFill/>
                      </a:ln>
                    </wps:spPr>
                    <wps:txbx>
                      <w:txbxContent>
                        <w:p w14:paraId="0ADFEB4C" w14:textId="4B5284D8"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AAA93A" id="_x0000_t202" coordsize="21600,21600" o:spt="202" path="m,l,21600r21600,l21600,xe">
              <v:stroke joinstyle="miter"/>
              <v:path gradientshapeok="t" o:connecttype="rect"/>
            </v:shapetype>
            <v:shape id="Text Box 2" o:spid="_x0000_s1026" type="#_x0000_t202" alt="Classification: Controlled" style="position:absolute;margin-left:0;margin-top:0;width:86.35pt;height:22.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DtEAIAABsEAAAOAAAAZHJzL2Uyb0RvYy54bWysU01v2zAMvQ/YfxB0X+x4TdAacYqsRYYB&#10;QVsgHXpWZCk2IImCpMTOfv0oxU62bqdhF5kmKX6897S477UiR+F8C6ai00lOiTAc6tbsK/r9df3p&#10;lhIfmKmZAiMqehKe3i8/flh0thQFNKBq4QgWMb7sbEWbEGyZZZ43QjM/ASsMBiU4zQL+un1WO9Zh&#10;da2yIs/nWQeutg648B69j+cgXab6UgoenqX0IhBVUZwtpNOlcxfPbLlg5d4x27R8GIP9wxSatQab&#10;Xko9ssDIwbV/lNItd+BBhgkHnYGULRdpB9xmmr/bZtswK9IuCI63F5j8/yvLn45b++JI6L9AjwRG&#10;QDrrS4/OuE8vnY5fnJRgHCE8XWATfSA8Xsrv5vObGSUcY8Xt52KacM2ut63z4asATaJRUYe0JLTY&#10;ceMDdsTUMSU2M7BulUrUKPObAxOjJ7uOGK3Q7/ph7h3UJ1zHwZlpb/m6xZ4b5sMLc0gtboByDc94&#10;SAVdRWGwKGnA/fibP+Yj4hilpEOpVNSglilR3wwyUcxu8jxKK/2h4UZjl4zpXT6LcXPQD4AqnOKD&#10;sDyZMTmo0ZQO9BuqeRW7YYgZjj0ruhvNh3AWLr4GLlarlIQqsixszNbyWDqCFZF87d+YswPcAYl6&#10;glFMrHyH+jk33vR2dQiIfaIkAntGc8AbFZiYGl5LlPiv/ynr+qaXPwEAAP//AwBQSwMEFAAGAAgA&#10;AAAhAHZjJcHaAAAABAEAAA8AAABkcnMvZG93bnJldi54bWxMj81qwzAQhO+FvoPYQm+NXBOc4FoO&#10;If2h1zqB9ihbG8vEWjnWJnHfvkov7WVhmGHm22I1uV6ccQydJwWPswQEUuNNR62C3fb1YQkisCaj&#10;e0+o4BsDrMrbm0Lnxl/oA88VtyKWUMi1Ass85FKGxqLTYeYHpOjt/eg0Rzm20oz6EstdL9MkyaTT&#10;HcUFqwfcWGwO1ckpyJ7f1nb4zL6O+zS8h9ofuPIvSt3fTesnEIwT/4Xhih/RoYxMtT+RCaJXEB/h&#10;33v1FukCRK1gPs9AloX8D1/+AAAA//8DAFBLAQItABQABgAIAAAAIQC2gziS/gAAAOEBAAATAAAA&#10;AAAAAAAAAAAAAAAAAABbQ29udGVudF9UeXBlc10ueG1sUEsBAi0AFAAGAAgAAAAhADj9If/WAAAA&#10;lAEAAAsAAAAAAAAAAAAAAAAALwEAAF9yZWxzLy5yZWxzUEsBAi0AFAAGAAgAAAAhAN4XcO0QAgAA&#10;GwQAAA4AAAAAAAAAAAAAAAAALgIAAGRycy9lMm9Eb2MueG1sUEsBAi0AFAAGAAgAAAAhAHZjJcHa&#10;AAAABAEAAA8AAAAAAAAAAAAAAAAAagQAAGRycy9kb3ducmV2LnhtbFBLBQYAAAAABAAEAPMAAABx&#10;BQAAAAA=&#10;" filled="f" stroked="f">
              <v:fill o:detectmouseclick="t"/>
              <v:textbox style="mso-fit-shape-to-text:t" inset="20pt,0,0,15pt">
                <w:txbxContent>
                  <w:p w14:paraId="0ADFEB4C" w14:textId="4B5284D8"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EB92" w14:textId="57AC6E6E" w:rsidR="00DA064C" w:rsidRDefault="00DA064C">
    <w:pPr>
      <w:pStyle w:val="Footer"/>
    </w:pPr>
    <w:r>
      <w:rPr>
        <w:noProof/>
      </w:rPr>
      <mc:AlternateContent>
        <mc:Choice Requires="wps">
          <w:drawing>
            <wp:anchor distT="0" distB="0" distL="0" distR="0" simplePos="0" relativeHeight="251660288" behindDoc="0" locked="0" layoutInCell="1" allowOverlap="1" wp14:anchorId="0D156714" wp14:editId="1F778860">
              <wp:simplePos x="572756" y="10098593"/>
              <wp:positionH relativeFrom="page">
                <wp:align>left</wp:align>
              </wp:positionH>
              <wp:positionV relativeFrom="page">
                <wp:align>bottom</wp:align>
              </wp:positionV>
              <wp:extent cx="1096645" cy="283210"/>
              <wp:effectExtent l="0" t="0" r="8255" b="0"/>
              <wp:wrapNone/>
              <wp:docPr id="229537357"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6645" cy="283210"/>
                      </a:xfrm>
                      <a:prstGeom prst="rect">
                        <a:avLst/>
                      </a:prstGeom>
                      <a:noFill/>
                      <a:ln>
                        <a:noFill/>
                      </a:ln>
                    </wps:spPr>
                    <wps:txbx>
                      <w:txbxContent>
                        <w:p w14:paraId="0148E86A" w14:textId="6508E660"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156714" id="_x0000_t202" coordsize="21600,21600" o:spt="202" path="m,l,21600r21600,l21600,xe">
              <v:stroke joinstyle="miter"/>
              <v:path gradientshapeok="t" o:connecttype="rect"/>
            </v:shapetype>
            <v:shape id="Text Box 3" o:spid="_x0000_s1027" type="#_x0000_t202" alt="Classification: Controlled" style="position:absolute;margin-left:0;margin-top:0;width:86.35pt;height:22.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gIlEgIAACIEAAAOAAAAZHJzL2Uyb0RvYy54bWysU99v2jAQfp+0/8Hy+0jICmojQsVaMU1C&#10;bSU69dk4Nolk+yzbkLC/fmcToO36VO3Fudyd78f3fZ7d9lqRvXC+BVPR8SinRBgOdWu2Ff39vPx2&#10;TYkPzNRMgREVPQhPb+dfv8w6W4oCGlC1cASLGF92tqJNCLbMMs8boZkfgRUGgxKcZgF/3TarHeuw&#10;ulZZkefTrANXWwdceI/e+2OQzlN9KQUPj1J6EYiqKM4W0unSuYlnNp+xcuuYbVo+jME+MYVmrcGm&#10;51L3LDCyc+0/pXTLHXiQYcRBZyBly0XaAbcZ5++2WTfMirQLguPtGSb//8ryh/3aPjkS+h/QI4ER&#10;kM760qMz7tNLp+MXJyUYRwgPZ9hEHwiPl/Kb6fRqQgnHWHH9vRgnXLPLbet8+ClAk2hU1CEtCS22&#10;X/mAHTH1lBKbGVi2SiVqlHnjwMToyS4jRiv0m5609avxN1AfcCsHR8K95csWW6+YD0/MIcO4CKo2&#10;POIhFXQVhcGipAH35yN/zEfgMUpJh4qpqEFJU6J+GSSkmFzleVRY+kPDnYxNMsY3+STGzU7fAYpx&#10;jO/C8mTG5KBOpnSgX1DUi9gNQ8xw7FnRzcm8C0f94qPgYrFISSgmy8LKrC2PpSNmEdDn/oU5O6Ae&#10;kK8HOGmKle/AP+bGm94udgEpSMxEfI9oDrCjEBNhw6OJSn/9n7IuT3v+FwAA//8DAFBLAwQUAAYA&#10;CAAAACEAdmMlwdoAAAAEAQAADwAAAGRycy9kb3ducmV2LnhtbEyPzWrDMBCE74W+g9hCb41cE5zg&#10;Wg4h/aHXOoH2KFsby8RaOdYmcd++Si/tZWGYYebbYjW5XpxxDJ0nBY+zBARS401HrYLd9vVhCSKw&#10;JqN7T6jgGwOsytubQufGX+gDzxW3IpZQyLUCyzzkUobGotNh5gek6O396DRHObbSjPoSy10v0yTJ&#10;pNMdxQWrB9xYbA7VySnInt/WdvjMvo77NLyH2h+48i9K3d9N6ycQjBP/heGKH9GhjEy1P5EJolcQ&#10;H+Hfe/UW6QJErWA+z0CWhfwPX/4AAAD//wMAUEsBAi0AFAAGAAgAAAAhALaDOJL+AAAA4QEAABMA&#10;AAAAAAAAAAAAAAAAAAAAAFtDb250ZW50X1R5cGVzXS54bWxQSwECLQAUAAYACAAAACEAOP0h/9YA&#10;AACUAQAACwAAAAAAAAAAAAAAAAAvAQAAX3JlbHMvLnJlbHNQSwECLQAUAAYACAAAACEAp9ICJRIC&#10;AAAiBAAADgAAAAAAAAAAAAAAAAAuAgAAZHJzL2Uyb0RvYy54bWxQSwECLQAUAAYACAAAACEAdmMl&#10;wdoAAAAEAQAADwAAAAAAAAAAAAAAAABsBAAAZHJzL2Rvd25yZXYueG1sUEsFBgAAAAAEAAQA8wAA&#10;AHMFAAAAAA==&#10;" filled="f" stroked="f">
              <v:fill o:detectmouseclick="t"/>
              <v:textbox style="mso-fit-shape-to-text:t" inset="20pt,0,0,15pt">
                <w:txbxContent>
                  <w:p w14:paraId="0148E86A" w14:textId="6508E660"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2022" w14:textId="4D6EC152" w:rsidR="00DA064C" w:rsidRDefault="00DA064C">
    <w:pPr>
      <w:pStyle w:val="Footer"/>
    </w:pPr>
    <w:r>
      <w:rPr>
        <w:noProof/>
      </w:rPr>
      <mc:AlternateContent>
        <mc:Choice Requires="wps">
          <w:drawing>
            <wp:anchor distT="0" distB="0" distL="0" distR="0" simplePos="0" relativeHeight="251658240" behindDoc="0" locked="0" layoutInCell="1" allowOverlap="1" wp14:anchorId="2CFB3F5B" wp14:editId="30D98E4A">
              <wp:simplePos x="635" y="635"/>
              <wp:positionH relativeFrom="page">
                <wp:align>left</wp:align>
              </wp:positionH>
              <wp:positionV relativeFrom="page">
                <wp:align>bottom</wp:align>
              </wp:positionV>
              <wp:extent cx="1096645" cy="283210"/>
              <wp:effectExtent l="0" t="0" r="8255" b="0"/>
              <wp:wrapNone/>
              <wp:docPr id="603353275"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6645" cy="283210"/>
                      </a:xfrm>
                      <a:prstGeom prst="rect">
                        <a:avLst/>
                      </a:prstGeom>
                      <a:noFill/>
                      <a:ln>
                        <a:noFill/>
                      </a:ln>
                    </wps:spPr>
                    <wps:txbx>
                      <w:txbxContent>
                        <w:p w14:paraId="1A34F34D" w14:textId="7C668BDD"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B3F5B" id="_x0000_t202" coordsize="21600,21600" o:spt="202" path="m,l,21600r21600,l21600,xe">
              <v:stroke joinstyle="miter"/>
              <v:path gradientshapeok="t" o:connecttype="rect"/>
            </v:shapetype>
            <v:shape id="Text Box 1" o:spid="_x0000_s1028" type="#_x0000_t202" alt="Classification: Controlled" style="position:absolute;margin-left:0;margin-top:0;width:86.35pt;height:22.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PFnFAIAACIEAAAOAAAAZHJzL2Uyb0RvYy54bWysU8tu2zAQvBfoPxC813o0NhLBcuAmcFHA&#10;SAI4Rc40RVoCSC5B0pbcr++Stuw27anohVrtLvcxM5zfD1qRg3C+A1PTYpJTIgyHpjO7mn5/XX26&#10;pcQHZhqmwIiaHoWn94uPH+a9rUQJLahGOIJFjK96W9M2BFtlmeet0MxPwAqDQQlOs4C/bpc1jvVY&#10;XauszPNZ1oNrrAMuvEfv4ylIF6m+lIKHZym9CETVFGcL6XTp3MYzW8xZtXPMth0/j8H+YQrNOoNN&#10;L6UeWWBk77o/SumOO/Agw4SDzkDKjou0A25T5O+22bTMirQLguPtBSb//8ryp8PGvjgShi8wIIER&#10;kN76yqMz7jNIp+MXJyUYRwiPF9jEEAiPl/K72exmSgnHWHn7uSwSrtn1tnU+fBWgSTRq6pCWhBY7&#10;rH3Ajpg6psRmBladUokaZX5zYGL0ZNcRoxWG7UC6BpuP42+hOeJWDk6Ee8tXHbZeMx9emEOGcRFU&#10;bXjGQyroawpni5IW3I+/+WM+Ao9RSnpUTE0NSpoS9c0gIeX0Js+jwtIfGm40tsko7vJpjJu9fgAU&#10;Y4HvwvJkxuSgRlM60G8o6mXshiFmOPas6XY0H8JJv/gouFguUxKKybKwNhvLY+mIWQT0dXhjzp5R&#10;D8jXE4yaYtU78E+58aa3y31AChIzEd8TmmfYUYiJsPOjiUr/9T9lXZ/24icAAAD//wMAUEsDBBQA&#10;BgAIAAAAIQB2YyXB2gAAAAQBAAAPAAAAZHJzL2Rvd25yZXYueG1sTI/NasMwEITvhb6D2EJvjVwT&#10;nOBaDiH9odc6gfYoWxvLxFo51iZx375KL+1lYZhh5ttiNblenHEMnScFj7MEBFLjTUetgt329WEJ&#10;IrAmo3tPqOAbA6zK25tC58Zf6APPFbcillDItQLLPORShsai02HmB6To7f3oNEc5ttKM+hLLXS/T&#10;JMmk0x3FBasH3FhsDtXJKcie39Z2+My+jvs0vIfaH7jyL0rd303rJxCME/+F4Yof0aGMTLU/kQmi&#10;VxAf4d979RbpAkStYD7PQJaF/A9f/gAAAP//AwBQSwECLQAUAAYACAAAACEAtoM4kv4AAADhAQAA&#10;EwAAAAAAAAAAAAAAAAAAAAAAW0NvbnRlbnRfVHlwZXNdLnhtbFBLAQItABQABgAIAAAAIQA4/SH/&#10;1gAAAJQBAAALAAAAAAAAAAAAAAAAAC8BAABfcmVscy8ucmVsc1BLAQItABQABgAIAAAAIQD2RPFn&#10;FAIAACIEAAAOAAAAAAAAAAAAAAAAAC4CAABkcnMvZTJvRG9jLnhtbFBLAQItABQABgAIAAAAIQB2&#10;YyXB2gAAAAQBAAAPAAAAAAAAAAAAAAAAAG4EAABkcnMvZG93bnJldi54bWxQSwUGAAAAAAQABADz&#10;AAAAdQUAAAAA&#10;" filled="f" stroked="f">
              <v:fill o:detectmouseclick="t"/>
              <v:textbox style="mso-fit-shape-to-text:t" inset="20pt,0,0,15pt">
                <w:txbxContent>
                  <w:p w14:paraId="1A34F34D" w14:textId="7C668BDD" w:rsidR="00DA064C" w:rsidRPr="00DA064C" w:rsidRDefault="00DA064C" w:rsidP="00DA064C">
                    <w:pPr>
                      <w:rPr>
                        <w:rFonts w:ascii="Aptos" w:eastAsia="Aptos" w:hAnsi="Aptos" w:cs="Aptos"/>
                        <w:noProof/>
                        <w:color w:val="FF0000"/>
                        <w:sz w:val="12"/>
                        <w:szCs w:val="12"/>
                      </w:rPr>
                    </w:pPr>
                    <w:r w:rsidRPr="00DA064C">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0506" w14:textId="77777777" w:rsidR="005F311C" w:rsidRDefault="005F311C" w:rsidP="00DA064C">
      <w:r>
        <w:separator/>
      </w:r>
    </w:p>
  </w:footnote>
  <w:footnote w:type="continuationSeparator" w:id="0">
    <w:p w14:paraId="2D376F2C" w14:textId="77777777" w:rsidR="005F311C" w:rsidRDefault="005F311C" w:rsidP="00DA0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2E61"/>
    <w:multiLevelType w:val="hybridMultilevel"/>
    <w:tmpl w:val="E040B800"/>
    <w:lvl w:ilvl="0" w:tplc="70AAAF00">
      <w:start w:val="1"/>
      <w:numFmt w:val="bullet"/>
      <w:lvlText w:val="●"/>
      <w:lvlJc w:val="left"/>
      <w:pPr>
        <w:ind w:left="720" w:hanging="360"/>
      </w:pPr>
    </w:lvl>
    <w:lvl w:ilvl="1" w:tplc="49A49C72">
      <w:start w:val="1"/>
      <w:numFmt w:val="bullet"/>
      <w:lvlText w:val="○"/>
      <w:lvlJc w:val="left"/>
      <w:pPr>
        <w:ind w:left="1440" w:hanging="360"/>
      </w:pPr>
    </w:lvl>
    <w:lvl w:ilvl="2" w:tplc="35D82476">
      <w:start w:val="1"/>
      <w:numFmt w:val="bullet"/>
      <w:lvlText w:val="■"/>
      <w:lvlJc w:val="left"/>
      <w:pPr>
        <w:ind w:left="2160" w:hanging="360"/>
      </w:pPr>
    </w:lvl>
    <w:lvl w:ilvl="3" w:tplc="13A066D0">
      <w:start w:val="1"/>
      <w:numFmt w:val="bullet"/>
      <w:lvlText w:val="●"/>
      <w:lvlJc w:val="left"/>
      <w:pPr>
        <w:ind w:left="2880" w:hanging="360"/>
      </w:pPr>
    </w:lvl>
    <w:lvl w:ilvl="4" w:tplc="BA92FCA2">
      <w:start w:val="1"/>
      <w:numFmt w:val="bullet"/>
      <w:lvlText w:val="○"/>
      <w:lvlJc w:val="left"/>
      <w:pPr>
        <w:ind w:left="3600" w:hanging="360"/>
      </w:pPr>
    </w:lvl>
    <w:lvl w:ilvl="5" w:tplc="9A0EA1FA">
      <w:start w:val="1"/>
      <w:numFmt w:val="bullet"/>
      <w:lvlText w:val="■"/>
      <w:lvlJc w:val="left"/>
      <w:pPr>
        <w:ind w:left="4320" w:hanging="360"/>
      </w:pPr>
    </w:lvl>
    <w:lvl w:ilvl="6" w:tplc="8BB65F7C">
      <w:start w:val="1"/>
      <w:numFmt w:val="bullet"/>
      <w:lvlText w:val="●"/>
      <w:lvlJc w:val="left"/>
      <w:pPr>
        <w:ind w:left="5040" w:hanging="360"/>
      </w:pPr>
    </w:lvl>
    <w:lvl w:ilvl="7" w:tplc="96F02250">
      <w:start w:val="1"/>
      <w:numFmt w:val="bullet"/>
      <w:lvlText w:val="●"/>
      <w:lvlJc w:val="left"/>
      <w:pPr>
        <w:ind w:left="5760" w:hanging="360"/>
      </w:pPr>
    </w:lvl>
    <w:lvl w:ilvl="8" w:tplc="B09A88D4">
      <w:start w:val="1"/>
      <w:numFmt w:val="bullet"/>
      <w:lvlText w:val="●"/>
      <w:lvlJc w:val="left"/>
      <w:pPr>
        <w:ind w:left="6480" w:hanging="360"/>
      </w:pPr>
    </w:lvl>
  </w:abstractNum>
  <w:num w:numId="1" w16cid:durableId="180893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76F"/>
    <w:rsid w:val="005F311C"/>
    <w:rsid w:val="00C6376F"/>
    <w:rsid w:val="00D868B7"/>
    <w:rsid w:val="00DA0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FCE2"/>
  <w15:docId w15:val="{581CB692-9B0A-4D87-80F0-21F3B2F7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A064C"/>
    <w:pPr>
      <w:tabs>
        <w:tab w:val="center" w:pos="4513"/>
        <w:tab w:val="right" w:pos="9026"/>
      </w:tabs>
    </w:pPr>
  </w:style>
  <w:style w:type="character" w:customStyle="1" w:styleId="FooterChar">
    <w:name w:val="Footer Char"/>
    <w:basedOn w:val="DefaultParagraphFont"/>
    <w:link w:val="Footer"/>
    <w:uiPriority w:val="99"/>
    <w:rsid w:val="00DA0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c71a0f-75e1-4c8f-90e2-641c9351dd98}" enabled="1" method="Standard" siteId="{3e0088dc-0629-4ae6-aa8c-813e7a296f50}"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5134</Characters>
  <Application>Microsoft Office Word</Application>
  <DocSecurity>0</DocSecurity>
  <Lines>183</Lines>
  <Paragraphs>153</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 Das</cp:lastModifiedBy>
  <cp:revision>2</cp:revision>
  <dcterms:created xsi:type="dcterms:W3CDTF">2026-07-14T14:30:00Z</dcterms:created>
  <dcterms:modified xsi:type="dcterms:W3CDTF">2026-07-14T14:30:00Z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23f670bb,6d7da028,dae764d</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