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E-Commerce Platform - Architecture &amp; BRD</w:t>
      </w:r>
    </w:p>
    <w:p>
      <w:pPr>
        <w:pStyle w:val="Heading1"/>
      </w:pPr>
      <w:r>
        <w:t>1. Project Overview</w:t>
      </w:r>
    </w:p>
    <w:p>
      <w:r>
        <w:t>This document outlines the cloud architecture for the 'Project Phoenix' e-commerce initiative. The project lead is [P:Agegx Jojtdjz] (VP Engineering) and the technical architect is [P:Xdlxgoh Vxoj].</w:t>
      </w:r>
    </w:p>
    <w:p>
      <w:pPr>
        <w:pStyle w:val="Heading1"/>
      </w:pPr>
      <w:r>
        <w:t>2. AWS Infrastructure Details</w:t>
      </w:r>
    </w:p>
    <w:p>
      <w:r>
        <w:t>Primary AWS Account: [A:184965037218]</w:t>
        <w:br/>
        <w:t>Target Region: [R:az-ogzv-1]</w:t>
        <w:br/>
        <w:t>Order Processor ARN: [N:gej:giz:hgwqpg:az-ogzv-1:184965037218:kajlvdcj:BepoeLeclozzce-Lecpalvdcj]</w:t>
        <w:br/>
        <w:t>Customer Data Bucket: [S:z4://lazv-pgvg-fecp-773]</w:t>
        <w:br/>
      </w:r>
    </w:p>
    <w:p>
      <w:pPr>
        <w:pStyle w:val="Heading1"/>
      </w:pPr>
      <w:r>
        <w:t>3. Network Architecture</w:t>
      </w:r>
    </w:p>
    <w:p>
      <w:r>
        <w:t>VPC ID: vpc-0a1b2c3d4e5f6g7h8</w:t>
        <w:br/>
        <w:t>Public Subnet: [U:zaqjov-29k1o8p4l9q6g57]</w:t>
        <w:br/>
        <w:t>Database IP (Internal): [I:12.2.6.98]</w:t>
        <w:br/>
        <w:t>Gateway IP: [I:178.153.1.1]</w:t>
        <w:br/>
      </w:r>
    </w:p>
    <w:p>
      <w:pPr>
        <w:pStyle w:val="Heading1"/>
      </w:pPr>
      <w:r>
        <w:t>4. Data Handling &amp; PII</w:t>
      </w:r>
    </w:p>
    <w:p>
      <w:r>
        <w:t>For testing purposes, the following customer profiles should be used: [P:Jgjo Yco] ([E:ugjo.pco@oygwfho.lcw]) and [P:Wcqoev Rdhzcj] ([E:ecqoev.idhzcj@lcefcegvo.jov]).</w:t>
      </w:r>
    </w:p>
    <w:p>
      <w:pPr>
        <w:pStyle w:val="Heading1"/>
      </w:pPr>
      <w:r>
        <w:t>5. Legal &amp; Service Accounts</w:t>
      </w:r>
    </w:p>
    <w:p>
      <w:r>
        <w:t>Master Service Agreement: MSA-2026-PHOENIX-001</w:t>
        <w:br/>
        <w:t>Deployment Service Account: [K:zrl-pofhcsoe-fxcojdy-fecp]</w:t>
        <w:br/>
        <w:t>Internal API Secret ID: [X:AZVWZK_KBCZM_7781_G]</w:t>
        <w:br/>
        <w:t>Legacy Mainframe ID: MF-HOST-001-A</w:t>
        <w:br/>
      </w:r>
    </w:p>
    <w:p>
      <w:r>
        <w:t>Please ensure that the contract MSA-2026-PHOENIX-001 is referenced in all communications with the vendor. The service account [K:zrl-pofhcsoe-fxcojdy-fecp] should have minimal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