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jpeg" ContentType="image/jpeg"/>
  <Override PartName="/word/media/image2.wmf" ContentType="image/x-wmf"/>
  <Override PartName="/word/media/image3.png" ContentType="image/png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984"/>
        <w:gridCol w:w="2500"/>
        <w:gridCol w:w="2484"/>
      </w:tblGrid>
      <w:tr>
        <w:trPr>
          <w:trHeight w:val="533" w:hRule="atLeast"/>
        </w:trPr>
        <w:tc>
          <w:tcPr>
            <w:tcW w:w="996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Tudor Chambers, Fore Street, St Marychurch, Torquay, Devon, TQ1 4PR</w:t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Telephone (Torquay) 01803 313656 (Brixham)  01803 881700</w:t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DX 83000 Torquay (3)   Fax 01803 313460</w:t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</w:tr>
      <w:tr>
        <w:trPr>
          <w:trHeight w:val="113" w:hRule="exact"/>
        </w:trPr>
        <w:tc>
          <w:tcPr>
            <w:tcW w:w="9968" w:type="dxa"/>
            <w:gridSpan w:val="3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/>
                <w:sz w:val="12"/>
                <w:szCs w:val="12"/>
              </w:rPr>
            </w:r>
          </w:p>
        </w:tc>
      </w:tr>
      <w:tr>
        <w:trPr>
          <w:trHeight w:val="284" w:hRule="exact"/>
        </w:trPr>
        <w:tc>
          <w:tcPr>
            <w:tcW w:w="4984" w:type="dxa"/>
            <w:vMerge w:val="restart"/>
            <w:tcBorders/>
          </w:tcPr>
          <w:p>
            <w:pPr>
              <w:pStyle w:val="Envelopeaddress"/>
              <w:widowControl w:val="false"/>
              <w:ind w:left="0" w:hanging="0"/>
              <w:jc w:val="both"/>
              <w:rPr/>
            </w:pPr>
            <w:bookmarkStart w:id="0" w:name="_Hlk106872807"/>
            <w:bookmarkEnd w:id="0"/>
            <w:r>
              <w:rPr/>
              <w:t>[ADDLINE1]</w:t>
            </w:r>
          </w:p>
          <w:p>
            <w:pPr>
              <w:pStyle w:val="Envelopeaddress"/>
              <w:widowControl w:val="false"/>
              <w:ind w:left="0" w:hanging="0"/>
              <w:jc w:val="both"/>
              <w:rPr/>
            </w:pPr>
            <w:r>
              <w:rPr/>
              <w:t>[ADDLINE2]</w:t>
            </w:r>
          </w:p>
          <w:p>
            <w:pPr>
              <w:pStyle w:val="Envelopeaddress"/>
              <w:widowControl w:val="false"/>
              <w:ind w:left="0" w:hanging="0"/>
              <w:jc w:val="both"/>
              <w:rPr/>
            </w:pPr>
            <w:r>
              <w:rPr/>
              <w:t>[CITY]</w:t>
            </w:r>
          </w:p>
          <w:p>
            <w:pPr>
              <w:pStyle w:val="Envelopeaddress"/>
              <w:widowControl w:val="false"/>
              <w:ind w:left="0" w:hanging="0"/>
              <w:jc w:val="both"/>
              <w:rPr/>
            </w:pPr>
            <w:r>
              <w:rPr/>
              <w:t>[COUNTY]</w:t>
            </w:r>
          </w:p>
          <w:p>
            <w:pPr>
              <w:pStyle w:val="Envelopeaddress"/>
              <w:widowControl w:val="false"/>
              <w:ind w:left="0" w:hanging="0"/>
              <w:jc w:val="both"/>
              <w:rPr/>
            </w:pPr>
            <w:r>
              <w:rPr/>
              <w:t>[POSTCODE]</w:t>
            </w:r>
          </w:p>
          <w:p>
            <w:pPr>
              <w:pStyle w:val="Envelopeaddress"/>
              <w:widowControl w:val="false"/>
              <w:ind w:left="0" w:hanging="0"/>
              <w:jc w:val="both"/>
              <w:rPr/>
            </w:pPr>
            <w:r>
              <w:rPr/>
            </w:r>
            <w:bookmarkStart w:id="1" w:name="_Hlk1068728071"/>
            <w:bookmarkStart w:id="2" w:name="_Hlk1068728071"/>
            <w:bookmarkEnd w:id="2"/>
          </w:p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500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</w:tc>
        <w:tc>
          <w:tcPr>
            <w:tcW w:w="2484" w:type="dxa"/>
            <w:tcBorders/>
            <w:vAlign w:val="bottom"/>
          </w:tcPr>
          <w:p>
            <w:pPr>
              <w:pStyle w:val="Normal"/>
              <w:widowControl w:val="false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</w:tc>
      </w:tr>
      <w:tr>
        <w:trPr>
          <w:trHeight w:val="397" w:hRule="exact"/>
        </w:trPr>
        <w:tc>
          <w:tcPr>
            <w:tcW w:w="4984" w:type="dxa"/>
            <w:vMerge w:val="continue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your ref</w:t>
            </w:r>
          </w:p>
        </w:tc>
        <w:tc>
          <w:tcPr>
            <w:tcW w:w="2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[YOURREF]</w:t>
            </w:r>
          </w:p>
          <w:p>
            <w:pPr>
              <w:pStyle w:val="Normal"/>
              <w:widowControl w:val="false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</w:tc>
      </w:tr>
      <w:tr>
        <w:trPr>
          <w:trHeight w:val="397" w:hRule="exact"/>
        </w:trPr>
        <w:tc>
          <w:tcPr>
            <w:tcW w:w="4984" w:type="dxa"/>
            <w:vMerge w:val="continue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our ref</w:t>
            </w:r>
          </w:p>
        </w:tc>
        <w:tc>
          <w:tcPr>
            <w:tcW w:w="2484" w:type="dxa"/>
            <w:tcBorders/>
          </w:tcPr>
          <w:p>
            <w:pPr>
              <w:pStyle w:val="Normal"/>
              <w:widowControl w:val="false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</w:rPr>
              <w:t>{%=reference%}</w:t>
            </w:r>
          </w:p>
          <w:p>
            <w:pPr>
              <w:pStyle w:val="Normal"/>
              <w:widowControl w:val="false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4984" w:type="dxa"/>
            <w:vMerge w:val="continue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date</w:t>
            </w:r>
          </w:p>
        </w:tc>
        <w:tc>
          <w:tcPr>
            <w:tcW w:w="2484" w:type="dxa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sz w:val="18"/>
              </w:rPr>
              <w:t>[CURRENTDATE]</w:t>
            </w:r>
          </w:p>
        </w:tc>
      </w:tr>
      <w:tr>
        <w:trPr>
          <w:trHeight w:val="284" w:hRule="exact"/>
        </w:trPr>
        <w:tc>
          <w:tcPr>
            <w:tcW w:w="4984" w:type="dxa"/>
            <w:vMerge w:val="continue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</w:tc>
        <w:tc>
          <w:tcPr>
            <w:tcW w:w="2484" w:type="dxa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</w:tr>
      <w:tr>
        <w:trPr>
          <w:trHeight w:val="340" w:hRule="exact"/>
        </w:trPr>
        <w:tc>
          <w:tcPr>
            <w:tcW w:w="4984" w:type="dxa"/>
            <w:vMerge w:val="continue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84" w:type="dxa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</w:tr>
      <w:tr>
        <w:trPr>
          <w:trHeight w:val="340" w:hRule="exact"/>
        </w:trPr>
        <w:tc>
          <w:tcPr>
            <w:tcW w:w="4984" w:type="dxa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84" w:type="dxa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</w:r>
      <w:bookmarkStart w:id="3" w:name="OLE_LINK12"/>
      <w:bookmarkStart w:id="4" w:name="OLE_LINK11"/>
      <w:bookmarkStart w:id="5" w:name="OLE_LINK12"/>
      <w:bookmarkStart w:id="6" w:name="OLE_LINK11"/>
      <w:bookmarkEnd w:id="5"/>
      <w:bookmarkEnd w:id="6"/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</w:r>
      <w:bookmarkStart w:id="7" w:name="OLE_LINK15"/>
      <w:bookmarkStart w:id="8" w:name="OLE_LINK16"/>
      <w:bookmarkStart w:id="9" w:name="OLE_LINK15"/>
      <w:bookmarkStart w:id="10" w:name="OLE_LINK16"/>
      <w:bookmarkEnd w:id="9"/>
      <w:bookmarkEnd w:id="10"/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  <w:t>Dear Sirs</w:t>
      </w:r>
      <w:bookmarkStart w:id="11" w:name="OLE_LINK2"/>
      <w:bookmarkStart w:id="12" w:name="OLE_LINK1"/>
      <w:bookmarkEnd w:id="11"/>
      <w:bookmarkEnd w:id="12"/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ind w:left="720" w:hanging="720"/>
        <w:jc w:val="both"/>
        <w:rPr>
          <w:b/>
          <w:b/>
          <w:szCs w:val="22"/>
        </w:rPr>
      </w:pPr>
      <w:r>
        <w:rPr>
          <w:b/>
          <w:szCs w:val="22"/>
        </w:rPr>
        <w:t>Re:</w:t>
        <w:tab/>
        <w:t>The Estate of the {%=deceasedInfo.forename%} {%=deceasedInfo.surname%}</w:t>
      </w:r>
    </w:p>
    <w:p>
      <w:pPr>
        <w:pStyle w:val="Normal"/>
        <w:ind w:left="720" w:hanging="0"/>
        <w:jc w:val="both"/>
        <w:rPr>
          <w:b/>
          <w:b/>
          <w:color w:val="000000"/>
          <w:szCs w:val="22"/>
        </w:rPr>
      </w:pPr>
      <w:r>
        <w:rPr>
          <w:b/>
          <w:szCs w:val="22"/>
        </w:rPr>
        <w:t>Date of death: [DATEOFDEATH]</w:t>
      </w:r>
    </w:p>
    <w:p>
      <w:pPr>
        <w:pStyle w:val="Normal"/>
        <w:ind w:left="720" w:hanging="0"/>
        <w:jc w:val="both"/>
        <w:rPr>
          <w:szCs w:val="22"/>
        </w:rPr>
      </w:pPr>
      <w:r>
        <w:rPr>
          <w:b/>
          <w:color w:val="000000"/>
          <w:szCs w:val="22"/>
        </w:rPr>
        <w:t>Account: {%for account in bank.accounts%}{%=account.sortCode%} {%=account.accountNumber%}</w:t>
      </w:r>
    </w:p>
    <w:p>
      <w:pPr>
        <w:pStyle w:val="Normal"/>
        <w:ind w:left="720" w:hanging="0"/>
        <w:jc w:val="both"/>
        <w:rPr>
          <w:szCs w:val="22"/>
        </w:rPr>
      </w:pPr>
      <w:r>
        <w:rPr>
          <w:b/>
          <w:color w:val="000000"/>
          <w:szCs w:val="22"/>
        </w:rPr>
        <w:t>{%end%}</w:t>
      </w:r>
    </w:p>
    <w:p>
      <w:pPr>
        <w:pStyle w:val="NormalWeb"/>
        <w:spacing w:beforeAutospacing="0" w:before="0" w:afterAutospacing="0" w:after="0"/>
        <w:jc w:val="both"/>
        <w:rPr>
          <w:szCs w:val="22"/>
          <w:lang w:val="en-US"/>
        </w:rPr>
      </w:pPr>
      <w:r>
        <w:rPr>
          <w:szCs w:val="22"/>
          <w:lang w:val="en-US"/>
        </w:rPr>
        <w:t xml:space="preserve">We have been instructed to act in the administration of the Estate of the above named deceased who died on </w:t>
      </w:r>
      <w:r>
        <w:rPr>
          <w:bCs/>
          <w:szCs w:val="22"/>
        </w:rPr>
        <w:t>[DATEOFDEATH]</w:t>
      </w:r>
      <w:r>
        <w:rPr>
          <w:b/>
          <w:szCs w:val="22"/>
        </w:rPr>
        <w:t xml:space="preserve"> </w:t>
      </w:r>
      <w:r>
        <w:rPr>
          <w:szCs w:val="22"/>
          <w:lang w:val="en-US"/>
        </w:rPr>
        <w:t xml:space="preserve">and we </w:t>
      </w:r>
      <w:r>
        <w:rPr>
          <w:bCs/>
          <w:szCs w:val="22"/>
          <w:lang w:val="en-US"/>
        </w:rPr>
        <w:t xml:space="preserve">enclose a </w:t>
      </w:r>
      <w:r>
        <w:rPr>
          <w:szCs w:val="22"/>
          <w:lang w:val="en-US"/>
        </w:rPr>
        <w:t>Death Certificate Verification Form for your noting and return.</w:t>
      </w:r>
    </w:p>
    <w:p>
      <w:pPr>
        <w:pStyle w:val="NormalWeb"/>
        <w:spacing w:beforeAutospacing="0" w:before="0" w:afterAutospacing="0" w:after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NormalWeb"/>
        <w:spacing w:beforeAutospacing="0" w:before="0" w:afterAutospacing="0" w:after="0"/>
        <w:jc w:val="both"/>
        <w:rPr>
          <w:szCs w:val="22"/>
          <w:lang w:val="en-US"/>
        </w:rPr>
      </w:pPr>
      <w:r>
        <w:rPr>
          <w:szCs w:val="22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numPr>
          <w:ilvl w:val="0"/>
          <w:numId w:val="1"/>
        </w:numPr>
        <w:overflowPunct w:val="true"/>
        <w:jc w:val="both"/>
        <w:rPr>
          <w:color w:val="000000"/>
          <w:szCs w:val="22"/>
        </w:rPr>
      </w:pPr>
      <w:r>
        <w:rPr>
          <w:color w:val="000000"/>
          <w:szCs w:val="22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1"/>
        </w:numPr>
        <w:rPr>
          <w:color w:val="000000"/>
          <w:szCs w:val="22"/>
        </w:rPr>
      </w:pPr>
      <w:r>
        <w:rPr>
          <w:color w:val="000000"/>
          <w:szCs w:val="22"/>
        </w:rPr>
        <w:t xml:space="preserve">Details of interest accrued as at the date of death. </w:t>
      </w:r>
    </w:p>
    <w:p>
      <w:pPr>
        <w:pStyle w:val="Normal"/>
        <w:numPr>
          <w:ilvl w:val="0"/>
          <w:numId w:val="1"/>
        </w:numPr>
        <w:overflowPunct w:val="true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1"/>
        </w:numPr>
        <w:overflowPunct w:val="true"/>
        <w:jc w:val="both"/>
        <w:rPr>
          <w:color w:val="000000"/>
          <w:szCs w:val="22"/>
        </w:rPr>
      </w:pPr>
      <w:r>
        <w:rPr>
          <w:color w:val="000000"/>
          <w:szCs w:val="22"/>
        </w:rPr>
        <w:t>Transfer any balance to an account that pays the highest rate of interest for repayment without notice. A tax deduction certificate for the year period 6 April to the date of death would also be useful if appropriate.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color w:val="000000"/>
        </w:rPr>
      </w:pPr>
      <w:r>
        <w:rPr>
          <w:color w:val="000000"/>
        </w:rPr>
        <w:t>Supply a list of all direct debits/standing orders relating to the above accounts and let us have a copy of the last statement relating to the accounts or a copy of the most recent transactions on the accounts.</w:t>
      </w:r>
    </w:p>
    <w:p>
      <w:pPr>
        <w:pStyle w:val="Normal"/>
        <w:numPr>
          <w:ilvl w:val="0"/>
          <w:numId w:val="1"/>
        </w:numPr>
        <w:rPr>
          <w:color w:val="FF0000"/>
          <w:szCs w:val="22"/>
        </w:rPr>
      </w:pPr>
      <w:r>
        <w:rPr>
          <w:color w:val="FF0000"/>
          <w:szCs w:val="22"/>
        </w:rPr>
        <w:t>Confirmation as to whether you participate in the Inland Revenue direct payment scheme relating to Inheritance Tax.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color w:val="FF0000"/>
        </w:rPr>
      </w:pPr>
      <w:r>
        <w:rPr>
          <w:color w:val="FF0000"/>
        </w:rPr>
        <w:t xml:space="preserve">If applicable, provide us with the balance of the mortgage together with any interest accrued, but not yet credited, as at date of death.  </w:t>
      </w:r>
      <w:r>
        <w:rPr>
          <w:b/>
          <w:color w:val="FF0000"/>
        </w:rPr>
        <w:t>(Please note that we are not in a position to settle any outstanding balances until such time we have obtained the Grant of Probate and have funds on account.)</w:t>
      </w:r>
    </w:p>
    <w:p>
      <w:pPr>
        <w:pStyle w:val="Normal"/>
        <w:numPr>
          <w:ilvl w:val="0"/>
          <w:numId w:val="1"/>
        </w:numPr>
        <w:rPr>
          <w:color w:val="FF0000"/>
          <w:szCs w:val="22"/>
        </w:rPr>
      </w:pPr>
      <w:r>
        <w:rPr>
          <w:color w:val="FF0000"/>
          <w:szCs w:val="22"/>
        </w:rPr>
        <w:t>Whether you hold any Title Deeds, original or copy Wills, Stocks and Securities or other documents in safe custody on behalf of the deceased.</w:t>
      </w:r>
    </w:p>
    <w:p>
      <w:pPr>
        <w:pStyle w:val="Normal"/>
        <w:numPr>
          <w:ilvl w:val="0"/>
          <w:numId w:val="1"/>
        </w:numPr>
        <w:overflowPunct w:val="true"/>
        <w:jc w:val="both"/>
        <w:rPr>
          <w:color w:val="FF0000"/>
          <w:szCs w:val="22"/>
        </w:rPr>
      </w:pPr>
      <w:r>
        <w:rPr>
          <w:color w:val="FF0000"/>
          <w:szCs w:val="22"/>
        </w:rPr>
        <w:t>If applicable, provide details of Home Insurance held.</w:t>
      </w:r>
    </w:p>
    <w:p>
      <w:pPr>
        <w:pStyle w:val="Normal"/>
        <w:rPr>
          <w:color w:val="FF0000"/>
          <w:szCs w:val="22"/>
        </w:rPr>
      </w:pPr>
      <w:r>
        <w:rPr>
          <w:color w:val="FF0000"/>
          <w:szCs w:val="22"/>
        </w:rPr>
      </w:r>
    </w:p>
    <w:p>
      <w:pPr>
        <w:pStyle w:val="Normal"/>
        <w:rPr>
          <w:color w:val="000000"/>
          <w:szCs w:val="22"/>
        </w:rPr>
      </w:pPr>
      <w:r>
        <w:rPr>
          <w:color w:val="000000"/>
          <w:szCs w:val="22"/>
        </w:rPr>
        <w:t>When replying please let us have the appropriate withdrawal forms.</w:t>
      </w:r>
    </w:p>
    <w:p>
      <w:pPr>
        <w:pStyle w:val="Normal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jc w:val="both"/>
        <w:rPr>
          <w:color w:val="FF0000"/>
          <w:szCs w:val="22"/>
        </w:rPr>
      </w:pPr>
      <w:r>
        <w:rPr>
          <w:color w:val="FF0000"/>
          <w:szCs w:val="22"/>
        </w:rPr>
        <w:t>Whilst writing we enclose a copy of the funeral invoice for settlement from one of the deceased’s accounts.  We would be grateful if you could please let us know when the invoice has been paid.</w:t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jc w:val="both"/>
        <w:rPr>
          <w:color w:val="000000"/>
          <w:szCs w:val="22"/>
        </w:rPr>
      </w:pPr>
      <w:r>
        <w:rPr>
          <w:szCs w:val="22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szCs w:val="22"/>
        </w:rPr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szCs w:val="22"/>
        </w:rPr>
      </w:r>
      <w:r>
        <w:rPr>
          <w:szCs w:val="22"/>
        </w:rPr>
      </w:r>
      <w:r>
        <w:rPr>
          <w:szCs w:val="22"/>
        </w:rPr>
        <w:fldChar w:fldCharType="end"/>
      </w:r>
      <w:r>
        <w:rPr>
          <w:color w:val="000000"/>
          <w:szCs w:val="22"/>
        </w:rPr>
        <w:t>at all times.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  <w:t>We look forward to hearing from you and thank you in anticipation of your response.</w:t>
      </w:r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  <w:t>Yours faithfully</w:t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jc w:val="both"/>
        <w:rPr>
          <w:b/>
          <w:b/>
          <w:color w:val="000000"/>
          <w:szCs w:val="22"/>
        </w:rPr>
      </w:pPr>
      <w:r>
        <w:rPr>
          <w:b/>
          <w:color w:val="000000"/>
          <w:szCs w:val="22"/>
        </w:rPr>
        <w:t>Darby &amp; Darby</w:t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  <w:t>ben@darbylaw.co.uk</w:t>
      </w:r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jc w:val="both"/>
        <w:rPr>
          <w:szCs w:val="22"/>
        </w:rPr>
      </w:pPr>
      <w:r>
        <w:rPr>
          <w:szCs w:val="22"/>
        </w:rPr>
        <w:t>Enc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077" w:right="1077" w:gutter="0" w:header="720" w:top="1758" w:footer="57" w:bottom="192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jc w:val="center"/>
      <w:rPr>
        <w:rFonts w:eastAsia="Times New Roman"/>
        <w:sz w:val="16"/>
        <w:szCs w:val="16"/>
      </w:rPr>
    </w:pPr>
    <w:r>
      <w:rPr>
        <w:rFonts w:eastAsia="Times New Roman"/>
        <w:i/>
        <w:sz w:val="16"/>
        <w:szCs w:val="16"/>
      </w:rPr>
      <w:t xml:space="preserve">Partners </w:t>
    </w:r>
    <w:r>
      <w:rPr>
        <w:rFonts w:eastAsia="Times New Roman"/>
        <w:sz w:val="16"/>
        <w:szCs w:val="16"/>
      </w:rPr>
      <w:t xml:space="preserve">J Darby, B Darby </w:t>
    </w:r>
    <w:r>
      <w:rPr>
        <w:rFonts w:eastAsia="Times New Roman"/>
        <w:i/>
        <w:sz w:val="16"/>
        <w:szCs w:val="16"/>
      </w:rPr>
      <w:t>Assistant Solicitors</w:t>
    </w:r>
    <w:r>
      <w:rPr>
        <w:rFonts w:eastAsia="Times New Roman"/>
        <w:sz w:val="16"/>
        <w:szCs w:val="16"/>
      </w:rPr>
      <w:t xml:space="preserve"> D Charles, A Wilson, S Sutherland, J Parker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jc w:val="center"/>
      <w:rPr>
        <w:rFonts w:eastAsia="Times New Roman"/>
        <w:sz w:val="16"/>
        <w:szCs w:val="16"/>
      </w:rPr>
    </w:pPr>
    <w:r>
      <w:rPr>
        <w:rFonts w:eastAsia="Times New Roman"/>
        <w:sz w:val="16"/>
        <w:szCs w:val="16"/>
      </w:rPr>
      <w:t>Darby &amp; Darby Solicitors is authorised and regulated by the Solicitors Regulation Authority (61431)</w:t>
    </w:r>
  </w:p>
  <w:p>
    <w:pPr>
      <w:pStyle w:val="Footer"/>
      <w:rPr/>
    </w:pPr>
    <w:r>
      <w:rPr/>
      <w:drawing>
        <wp:inline distT="0" distB="0" distL="0" distR="0">
          <wp:extent cx="610870" cy="358140"/>
          <wp:effectExtent l="0" t="0" r="0" b="0"/>
          <wp:docPr id="3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0870" cy="358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/>
        <w:sz w:val="16"/>
        <w:szCs w:val="16"/>
      </w:rPr>
      <w:tab/>
    </w:r>
    <w:r>
      <w:rPr/>
      <w:drawing>
        <wp:inline distT="0" distB="0" distL="0" distR="0">
          <wp:extent cx="610870" cy="337185"/>
          <wp:effectExtent l="0" t="0" r="0" b="0"/>
          <wp:docPr id="4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10870" cy="337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/>
        <w:sz w:val="16"/>
        <w:szCs w:val="16"/>
      </w:rPr>
      <w:tab/>
    </w:r>
    <w:r>
      <w:rPr/>
      <w:drawing>
        <wp:inline distT="0" distB="0" distL="0" distR="0">
          <wp:extent cx="669925" cy="328930"/>
          <wp:effectExtent l="0" t="0" r="0" b="0"/>
          <wp:docPr id="5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69925" cy="328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jc w:val="center"/>
      <w:rPr>
        <w:rFonts w:eastAsia="Times New Roman"/>
        <w:sz w:val="16"/>
        <w:szCs w:val="16"/>
      </w:rPr>
    </w:pPr>
    <w:r>
      <w:rPr>
        <w:rFonts w:eastAsia="Times New Roman"/>
        <w:i/>
        <w:sz w:val="16"/>
        <w:szCs w:val="16"/>
      </w:rPr>
      <w:t xml:space="preserve">Partners </w:t>
    </w:r>
    <w:r>
      <w:rPr>
        <w:rFonts w:eastAsia="Times New Roman"/>
        <w:sz w:val="16"/>
        <w:szCs w:val="16"/>
      </w:rPr>
      <w:t xml:space="preserve">J Darby, B Darby </w:t>
    </w:r>
    <w:r>
      <w:rPr>
        <w:rFonts w:eastAsia="Times New Roman"/>
        <w:i/>
        <w:sz w:val="16"/>
        <w:szCs w:val="16"/>
      </w:rPr>
      <w:t>Assistant Solicitors</w:t>
    </w:r>
    <w:r>
      <w:rPr>
        <w:rFonts w:eastAsia="Times New Roman"/>
        <w:sz w:val="16"/>
        <w:szCs w:val="16"/>
      </w:rPr>
      <w:t xml:space="preserve"> D Charles, A Wilson, S Sutherland, J Parker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jc w:val="center"/>
      <w:rPr>
        <w:rFonts w:eastAsia="Times New Roman"/>
        <w:sz w:val="16"/>
        <w:szCs w:val="16"/>
      </w:rPr>
    </w:pPr>
    <w:r>
      <w:rPr>
        <w:rFonts w:eastAsia="Times New Roman"/>
        <w:sz w:val="16"/>
        <w:szCs w:val="16"/>
      </w:rPr>
      <w:t>Darby &amp; Darby Solicitors is authorised and regulated by the Solicitors Regulation Authority (61431)</w:t>
    </w:r>
  </w:p>
  <w:p>
    <w:pPr>
      <w:pStyle w:val="Footer"/>
      <w:rPr/>
    </w:pPr>
    <w:r>
      <w:rPr/>
      <w:drawing>
        <wp:inline distT="0" distB="0" distL="0" distR="0">
          <wp:extent cx="610870" cy="358140"/>
          <wp:effectExtent l="0" t="0" r="0" b="0"/>
          <wp:docPr id="6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0870" cy="358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/>
        <w:sz w:val="16"/>
        <w:szCs w:val="16"/>
      </w:rPr>
      <w:tab/>
    </w:r>
    <w:r>
      <w:rPr/>
      <w:drawing>
        <wp:inline distT="0" distB="0" distL="0" distR="0">
          <wp:extent cx="610870" cy="337185"/>
          <wp:effectExtent l="0" t="0" r="0" b="0"/>
          <wp:docPr id="7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10870" cy="337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/>
        <w:sz w:val="16"/>
        <w:szCs w:val="16"/>
      </w:rPr>
      <w:tab/>
    </w:r>
    <w:r>
      <w:rPr/>
      <w:drawing>
        <wp:inline distT="0" distB="0" distL="0" distR="0">
          <wp:extent cx="669925" cy="328930"/>
          <wp:effectExtent l="0" t="0" r="0" b="0"/>
          <wp:docPr id="8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69925" cy="328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</w: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6464935</wp:posOffset>
              </wp:positionH>
              <wp:positionV relativeFrom="paragraph">
                <wp:posOffset>15240</wp:posOffset>
              </wp:positionV>
              <wp:extent cx="78105" cy="15938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tabs>
                              <w:tab w:val="clear" w:pos="720"/>
                              <w:tab w:val="center" w:pos="4320" w:leader="none"/>
                              <w:tab w:val="right" w:pos="8640" w:leader="none"/>
                            </w:tabs>
                            <w:rPr>
                              <w:rFonts w:eastAsia="Times New Roman" w:cs="Times New Roman"/>
                              <w:szCs w:val="22"/>
                            </w:rPr>
                          </w:pPr>
                          <w:r>
                            <w:rPr>
                              <w:rFonts w:eastAsia="Times New Roman" w:cs="Times New Roman"/>
                              <w:color w:val="000000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szCs w:val="22"/>
                              <w:rFonts w:eastAsia="Times New Roman" w:cs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Cs w:val="22"/>
                              <w:rFonts w:eastAsia="Times New Roman" w:cs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Cs w:val="22"/>
                              <w:rFonts w:eastAsia="Times New Roman" w:cs="Times New Roman"/>
                              <w:color w:val="000000"/>
                            </w:rPr>
                            <w:t>2</w:t>
                          </w:r>
                          <w:r>
                            <w:rPr>
                              <w:szCs w:val="22"/>
                              <w:rFonts w:eastAsia="Times New Roman" w:cs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09.05pt;margin-top:1.2pt;width:6.1pt;height:12.5pt;mso-wrap-style:square;v-text-anchor:top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tabs>
                        <w:tab w:val="clear" w:pos="720"/>
                        <w:tab w:val="center" w:pos="4320" w:leader="none"/>
                        <w:tab w:val="right" w:pos="8640" w:leader="none"/>
                      </w:tabs>
                      <w:rPr>
                        <w:rFonts w:eastAsia="Times New Roman" w:cs="Times New Roman"/>
                        <w:szCs w:val="22"/>
                      </w:rPr>
                    </w:pPr>
                    <w:r>
                      <w:rPr>
                        <w:rFonts w:eastAsia="Times New Roman" w:cs="Times New Roman"/>
                        <w:color w:val="000000"/>
                        <w:szCs w:val="22"/>
                      </w:rPr>
                      <w:fldChar w:fldCharType="begin"/>
                    </w:r>
                    <w:r>
                      <w:rPr>
                        <w:szCs w:val="22"/>
                        <w:rFonts w:eastAsia="Times New Roman" w:cs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Cs w:val="22"/>
                        <w:rFonts w:eastAsia="Times New Roman" w:cs="Times New Roman"/>
                        <w:color w:val="000000"/>
                      </w:rPr>
                      <w:fldChar w:fldCharType="separate"/>
                    </w:r>
                    <w:r>
                      <w:rPr>
                        <w:szCs w:val="22"/>
                        <w:rFonts w:eastAsia="Times New Roman" w:cs="Times New Roman"/>
                        <w:color w:val="000000"/>
                      </w:rPr>
                      <w:t>2</w:t>
                    </w:r>
                    <w:r>
                      <w:rPr>
                        <w:szCs w:val="22"/>
                        <w:rFonts w:eastAsia="Times New Roman" w:cs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rFonts w:eastAsia="Times New Roman" w:cs="Times New Roman"/>
        <w:szCs w:val="22"/>
      </w:rPr>
      <w:t xml:space="preserve">Page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29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envelope address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a7f0c"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Calibri" w:cs="Arial"/>
      <w:color w:val="auto"/>
      <w:kern w:val="0"/>
      <w:sz w:val="22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63401b"/>
    <w:rPr>
      <w:sz w:val="24"/>
      <w:szCs w:val="24"/>
    </w:rPr>
  </w:style>
  <w:style w:type="character" w:styleId="FooterChar" w:customStyle="1">
    <w:name w:val="Footer Char"/>
    <w:link w:val="Footer"/>
    <w:qFormat/>
    <w:rsid w:val="0063401b"/>
    <w:rPr>
      <w:sz w:val="24"/>
      <w:szCs w:val="24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Web">
    <w:name w:val="Normal (Web)"/>
    <w:basedOn w:val="Normal"/>
    <w:qFormat/>
    <w:rsid w:val="001a7f0c"/>
    <w:pPr>
      <w:overflowPunct w:val="true"/>
      <w:spacing w:beforeAutospacing="1" w:afterAutospacing="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63401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rsid w:val="0063401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f46339"/>
    <w:pPr>
      <w:overflowPunct w:val="true"/>
      <w:spacing w:before="0" w:after="0"/>
      <w:ind w:left="720" w:hanging="0"/>
      <w:contextualSpacing/>
    </w:pPr>
    <w:rPr>
      <w:szCs w:val="22"/>
    </w:rPr>
  </w:style>
  <w:style w:type="paragraph" w:styleId="Envelopeaddress">
    <w:name w:val="envelope address"/>
    <w:basedOn w:val="Normal"/>
    <w:uiPriority w:val="99"/>
    <w:unhideWhenUsed/>
    <w:qFormat/>
    <w:rsid w:val="004b6e71"/>
    <w:pPr>
      <w:overflowPunct w:val="true"/>
      <w:ind w:left="2880" w:hanging="0"/>
    </w:pPr>
    <w:rPr>
      <w:rFonts w:ascii="Calibri Light" w:hAnsi="Calibri Light" w:eastAsia="Times New Roman" w:cs="Times New Roman"/>
      <w:sz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wmf"/><Relationship Id="rId3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wmf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05CFA-EA25-4DD7-A380-8CE5020B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8848</TotalTime>
  <Application>LibreOffice/7.4.2.3$Linux_X86_64 LibreOffice_project/40$Build-3</Application>
  <AppVersion>15.0000</AppVersion>
  <Pages>2</Pages>
  <Words>506</Words>
  <Characters>2601</Characters>
  <CharactersWithSpaces>3068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2020-04-24T18:04:00Z</dcterms:created>
  <dc:creator>rachel.speed</dc:creator>
  <dc:description/>
  <dc:language>en-US</dc:language>
  <cp:lastModifiedBy/>
  <cp:lastPrinted>1900-01-01T00:00:00Z</cp:lastPrinted>
  <dcterms:modified xsi:type="dcterms:W3CDTF">2022-11-22T10:16:00Z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