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wmf" ContentType="image/x-wmf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page">
                  <wp:posOffset>828040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{%=bank.orgName%}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{%=bank.orgAddress%}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C9211E"/>
                                <w:sz w:val="21"/>
                                <w:szCs w:val="21"/>
                              </w:rPr>
                              <w:t>{%=noAddress%}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5.2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{%=bank.orgName%}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{%=bank.orgAddress%}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C9211E"/>
                          <w:sz w:val="21"/>
                          <w:szCs w:val="21"/>
                        </w:rPr>
                        <w:t>{%=noAddress%}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4492625</wp:posOffset>
                </wp:positionH>
                <wp:positionV relativeFrom="page">
                  <wp:posOffset>1868170</wp:posOffset>
                </wp:positionV>
                <wp:extent cx="2520315" cy="1296035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6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>Your ref: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>Please r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5pt;margin-top:147.1pt;width:198.4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>Your ref: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>Please r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 office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" distL="635" distR="0" simplePos="0" locked="0" layoutInCell="0" allowOverlap="1" relativeHeight="16">
                <wp:simplePos x="0" y="0"/>
                <wp:positionH relativeFrom="page">
                  <wp:posOffset>323850</wp:posOffset>
                </wp:positionH>
                <wp:positionV relativeFrom="page">
                  <wp:posOffset>1403985</wp:posOffset>
                </wp:positionV>
                <wp:extent cx="3672205" cy="2195830"/>
                <wp:effectExtent l="635" t="0" r="0" b="0"/>
                <wp:wrapThrough wrapText="bothSides">
                  <wp:wrapPolygon edited="0">
                    <wp:start x="-2" y="21600"/>
                    <wp:lineTo x="-2" y="0"/>
                    <wp:lineTo x="21598" y="0"/>
                    <wp:lineTo x="21598" y="21600"/>
                    <wp:lineTo x="-2" y="21600"/>
                  </wp:wrapPolygon>
                </wp:wrapThrough>
                <wp:docPr id="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360" cy="21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25.5pt;margin-top:110.55pt;width:289.1pt;height:172.85pt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bookmarkStart w:id="0" w:name="OLE_LINK16"/>
      <w:bookmarkStart w:id="1" w:name="OLE_LINK12"/>
      <w:bookmarkStart w:id="2" w:name="OLE_LINK11"/>
      <w:bookmarkStart w:id="3" w:name="OLE_LINK15"/>
      <w:bookmarkStart w:id="4" w:name="OLE_LINK16"/>
      <w:bookmarkStart w:id="5" w:name="OLE_LINK12"/>
      <w:bookmarkStart w:id="6" w:name="OLE_LINK11"/>
      <w:bookmarkStart w:id="7" w:name="OLE_LINK15"/>
      <w:bookmarkEnd w:id="4"/>
      <w:bookmarkEnd w:id="5"/>
      <w:bookmarkEnd w:id="6"/>
      <w:bookmarkEnd w:id="7"/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bookmarkStart w:id="8" w:name="OLE_LINK2_Copy_1"/>
      <w:bookmarkStart w:id="9" w:name="OLE_LINK1_Copy_1"/>
      <w:bookmarkStart w:id="10" w:name="OLE_LINK111_Copy_1"/>
      <w:bookmarkStart w:id="11" w:name="OLE_LINK121_Copy_1"/>
      <w:bookmarkEnd w:id="10"/>
      <w:bookmarkEnd w:id="11"/>
      <w:r>
        <w:rPr>
          <w:rFonts w:eastAsia="Calibri" w:cs="Arial" w:ascii="arial" w:hAnsi="arial"/>
          <w:color w:val="000000"/>
          <w:sz w:val="21"/>
          <w:szCs w:val="21"/>
        </w:rPr>
        <w:t>Dear Sirs</w:t>
      </w:r>
      <w:bookmarkEnd w:id="8"/>
      <w:bookmarkEnd w:id="9"/>
    </w:p>
    <w:p>
      <w:pPr>
        <w:pStyle w:val="Normal"/>
        <w:overflowPunct w:val="false"/>
        <w:spacing w:lineRule="auto" w:line="240" w:before="0" w:after="0"/>
        <w:jc w:val="both"/>
        <w:rPr>
          <w:rFonts w:eastAsia="Calibri" w:cs="Arial"/>
          <w:color w:val="000000"/>
          <w:sz w:val="21"/>
          <w:szCs w:val="21"/>
        </w:rPr>
      </w:pPr>
      <w:r>
        <w:rPr>
          <w:rFonts w:eastAsia="Calibri" w:cs="Arial"/>
          <w:color w:val="000000"/>
          <w:sz w:val="21"/>
          <w:szCs w:val="21"/>
        </w:rPr>
      </w:r>
    </w:p>
    <w:p>
      <w:pPr>
        <w:pStyle w:val="Normal"/>
        <w:overflowPunct w:val="fals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Re:</w:t>
        <w:tab/>
        <w:t xml:space="preserve">The Estate of the Late {%=deceased.forename%} {%=deceased.surname%} </w:t>
      </w:r>
      <w:r>
        <w:rPr>
          <w:rFonts w:eastAsia="Calibri" w:cs="Arial" w:ascii="arial" w:hAnsi="arial"/>
          <w:b/>
          <w:color w:val="000000"/>
        </w:rPr>
        <w:t>Deceased</w:t>
      </w:r>
    </w:p>
    <w:p>
      <w:pPr>
        <w:pStyle w:val="Normal"/>
        <w:overflowPunct w:val="fals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ab/>
        <w:t xml:space="preserve">Date of death: </w:t>
      </w:r>
      <w:r>
        <w:rPr>
          <w:rFonts w:eastAsia="Calibri" w:cs="Arial" w:ascii="arial" w:hAnsi="arial"/>
          <w:b/>
          <w:color w:val="000000"/>
          <w:lang w:val="en-US"/>
        </w:rPr>
        <w:t>{%=deceased.dateOfDeath%}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bank.accounts%}</w:t>
      </w:r>
      <w:r>
        <w:rPr>
          <w:rFonts w:eastAsia="Calibri" w:cs="Arial" w:ascii="arial" w:hAnsi="arial"/>
          <w:b/>
          <w:bCs/>
          <w:color w:val="000000"/>
        </w:rPr>
        <w:t>Account Number:</w:t>
      </w:r>
      <w:r>
        <w:rPr>
          <w:rFonts w:eastAsia="Calibri" w:cs="Arial" w:ascii="arial" w:hAnsi="arial"/>
          <w:b w:val="false"/>
          <w:bCs w:val="false"/>
          <w:color w:val="000000"/>
        </w:rPr>
        <w:t xml:space="preserve"> </w:t>
      </w:r>
      <w:r>
        <w:rPr>
          <w:rFonts w:eastAsia="Calibri" w:cs="Arial" w:ascii="arial" w:hAnsi="arial"/>
          <w:b w:val="false"/>
          <w:bCs w:val="false"/>
          <w:color w:val="000000"/>
        </w:rPr>
        <w:t>{%=a.sortCode%} / {%=a.accountNumber%}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snapToGrid w:val="false"/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  <w:b/>
          <w:color w:val="000000"/>
          <w:lang w:val="en-US"/>
        </w:rPr>
        <w:t>{%=deceased.dateOfDeath%}</w:t>
      </w:r>
      <w:r>
        <w:rPr>
          <w:rFonts w:eastAsia="Calibri" w:cs="Arial" w:ascii="arial" w:hAnsi="arial"/>
          <w:lang w:val="en-US"/>
        </w:rPr>
        <w:t xml:space="preserve"> and we enclose a Death Certificate Verification Form for noting in your records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If applicable, provide us with the balance of the mortgage together with any interest accrued, but not yet credited, as at date of death.  (Please note that we are not in a position to settle any outstanding balances until such time we have obtained the Grant of Probate and have funds on account.)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If applicable, provide details of Home Insurance held.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Z003" w:hAnsi="Z003" w:eastAsia="Calibri" w:cs="Arial"/>
          <w:color w:val="000000"/>
          <w:sz w:val="28"/>
          <w:szCs w:val="28"/>
        </w:rPr>
      </w:pPr>
      <w:r>
        <w:rPr>
          <w:rFonts w:eastAsia="Calibri" w:cs="Arial" w:ascii="Z003" w:hAnsi="Z003"/>
          <w:color w:val="000000"/>
          <w:sz w:val="28"/>
          <w:szCs w:val="28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Z003" w:hAnsi="Z003" w:eastAsia="Calibri" w:cs="Arial"/>
          <w:color w:val="000000"/>
          <w:sz w:val="28"/>
          <w:szCs w:val="28"/>
        </w:rPr>
      </w:pPr>
      <w:r>
        <w:rPr>
          <w:rFonts w:eastAsia="Calibri" w:cs="Arial" w:ascii="Z003" w:hAnsi="Z003"/>
          <w:color w:val="000000"/>
          <w:sz w:val="28"/>
          <w:szCs w:val="28"/>
        </w:rPr>
        <w:t>Darby &amp; Darby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probate@darbylaw.co.uk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  <w:sz w:val="20"/>
          <w:szCs w:val="20"/>
        </w:rPr>
        <w:t>Enc</w:t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136" w:right="1136" w:gutter="0" w:header="0" w:top="221" w:footer="0" w:bottom="13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 Condensed">
    <w:charset w:val="01"/>
    <w:family w:val="roman"/>
    <w:pitch w:val="variable"/>
  </w:font>
  <w:font w:name="arial">
    <w:charset w:val="01"/>
    <w:family w:val="roman"/>
    <w:pitch w:val="variable"/>
  </w:font>
  <w:font w:name="Z003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1785620" cy="542290"/>
          <wp:effectExtent l="0" t="0" r="0" b="0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85620" cy="542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11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2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3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1"/>
      <w:gridCol w:w="3220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14" w:name="bookmark=id.30j0zll"/>
          <w:bookmarkStart w:id="15" w:name="bookmark=id.tyjcwt"/>
          <w:bookmarkStart w:id="16" w:name="bookmark=id.gjdgxs"/>
          <w:bookmarkStart w:id="17" w:name="bookmark=id.3znysh7"/>
          <w:bookmarkStart w:id="18" w:name="bookmark=id.2et92p0"/>
          <w:bookmarkStart w:id="19" w:name="bookmark=id.1fob9te"/>
          <w:bookmarkEnd w:id="14"/>
          <w:bookmarkEnd w:id="15"/>
          <w:bookmarkEnd w:id="16"/>
          <w:bookmarkEnd w:id="17"/>
          <w:bookmarkEnd w:id="18"/>
          <w:bookmarkEnd w:id="19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20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1"/>
      <w:gridCol w:w="3220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20" w:name="bookmark=id.30j0zll"/>
          <w:bookmarkStart w:id="21" w:name="bookmark=id.tyjcwt"/>
          <w:bookmarkStart w:id="22" w:name="bookmark=id.gjdgxs"/>
          <w:bookmarkStart w:id="23" w:name="bookmark=id.3znysh7"/>
          <w:bookmarkStart w:id="24" w:name="bookmark=id.2et92p0"/>
          <w:bookmarkStart w:id="25" w:name="bookmark=id.1fob9te"/>
          <w:bookmarkEnd w:id="20"/>
          <w:bookmarkEnd w:id="21"/>
          <w:bookmarkEnd w:id="22"/>
          <w:bookmarkEnd w:id="23"/>
          <w:bookmarkEnd w:id="24"/>
          <w:bookmarkEnd w:id="25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20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Relationship Id="rId3" Type="http://schemas.openxmlformats.org/officeDocument/2006/relationships/image" Target="media/image5.wmf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LibreOffice/7.4.5.1$Linux_X86_64 LibreOffice_project/40$Build-1</Application>
  <AppVersion>15.0000</AppVersion>
  <Pages>2</Pages>
  <Words>485</Words>
  <Characters>2531</Characters>
  <CharactersWithSpaces>2953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2023-03-28T17:06:53Z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