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G20 TechSprint 2025 – Demo Flow: Credit Asset Demo</w:t>
      </w:r>
    </w:p>
    <w:p>
      <w:r>
        <w:br/>
        <w:t>This document describes the step-by-step user flow for the Credit Asset Demo prototype, built to address TechSprint Theme 2: Consumer-consented and secure credit data portability. The demo simulates the loan approval process for a cassava-producing farm, combining AI-driven yield prediction, decentralized identity, and federated benchmarking.</w:t>
        <w:br/>
      </w:r>
    </w:p>
    <w:p>
      <w:pPr>
        <w:pStyle w:val="Heading1"/>
      </w:pPr>
      <w:r>
        <w:t>🧭 Step-by-Step Flow</w:t>
      </w:r>
    </w:p>
    <w:p>
      <w:pPr>
        <w:pStyle w:val="Heading2"/>
      </w:pPr>
      <w:r>
        <w:t>1. Load the App</w:t>
      </w:r>
    </w:p>
    <w:p>
      <w:r>
        <w:t>The user opens the Credit Asset Demo in a browser. The landing page displays two tabs: Borrower Dashboard (default) and Lender Review.</w:t>
      </w:r>
    </w:p>
    <w:p>
      <w:pPr>
        <w:pStyle w:val="Heading2"/>
      </w:pPr>
      <w:r>
        <w:t>2. Connect Wallet</w:t>
      </w:r>
    </w:p>
    <w:p>
      <w:r>
        <w:t>User clicks 'Connect Wallet' to establish identity using MetaMask. Wallet address is displayed. All other interactions remain locked until wallet is connected.</w:t>
      </w:r>
    </w:p>
    <w:p>
      <w:pPr>
        <w:pStyle w:val="Heading2"/>
      </w:pPr>
      <w:r>
        <w:t>3. View Farm Performance</w:t>
      </w:r>
    </w:p>
    <w:p>
      <w:r>
        <w:t>Upon wallet connection, sensor data for 'Farm 10' is loaded. The dashboard displays charts for soil moisture, temperature, and yield predictions.</w:t>
      </w:r>
    </w:p>
    <w:p>
      <w:pPr>
        <w:pStyle w:val="Heading2"/>
      </w:pPr>
      <w:r>
        <w:t>4. Credit Score Display</w:t>
      </w:r>
    </w:p>
    <w:p>
      <w:r>
        <w:t>The app computes a projected credit score based on the average of predicted yields using the formula: score = Math.min(Math.round(avgYield / 20), 100).</w:t>
      </w:r>
    </w:p>
    <w:p>
      <w:pPr>
        <w:pStyle w:val="Heading2"/>
      </w:pPr>
      <w:r>
        <w:t>5. Consent to Share Data</w:t>
      </w:r>
    </w:p>
    <w:p>
      <w:r>
        <w:t>The user must explicitly check the consent box before proceeding. This models GDPR-compliant, privacy-preserving data sharing.</w:t>
      </w:r>
    </w:p>
    <w:p>
      <w:pPr>
        <w:pStyle w:val="Heading2"/>
      </w:pPr>
      <w:r>
        <w:t>6. Initiate Loan Request</w:t>
      </w:r>
    </w:p>
    <w:p>
      <w:r>
        <w:t>Once consent is given, the 'Initiate Loan Process' button becomes active. Clicking it triggers the backend to simulate a loan request and sets the status to 'Pending Review'. The Lender Review tab is now unlocked.</w:t>
      </w:r>
    </w:p>
    <w:p>
      <w:pPr>
        <w:pStyle w:val="Heading2"/>
      </w:pPr>
      <w:r>
        <w:t>7. Federated Comparison</w:t>
      </w:r>
    </w:p>
    <w:p>
      <w:r>
        <w:t>In the Lender Review tab, the user sees a comparison of similar farms. FARM10 is highlighted. Filters allow sorting by region or asset type. Charts show yield vs. credit score correlations.</w:t>
      </w:r>
    </w:p>
    <w:p>
      <w:pPr>
        <w:pStyle w:val="Heading2"/>
      </w:pPr>
      <w:r>
        <w:t>8. Authorize or Reject</w:t>
      </w:r>
    </w:p>
    <w:p>
      <w:r>
        <w:t>The simulated lender can now either 'Authorize' or 'Reject' the loan. Upon authorization, a smart contract is triggered.</w:t>
      </w:r>
    </w:p>
    <w:p>
      <w:pPr>
        <w:pStyle w:val="Heading2"/>
      </w:pPr>
      <w:r>
        <w:t>9. Smart Contract Release</w:t>
      </w:r>
    </w:p>
    <w:p>
      <w:r>
        <w:t>If the predicted yield exceeds the contract threshold and user has consented, the contract releases funds. A confirmation message and transaction hash are displayed.</w:t>
      </w:r>
    </w:p>
    <w:p>
      <w:pPr>
        <w:pStyle w:val="Heading2"/>
      </w:pPr>
      <w:r>
        <w:t>10. End Screen</w:t>
      </w:r>
    </w:p>
    <w:p>
      <w:r>
        <w:t>After execution, the borrower dashboard displays a completion message and contact details for follow-up. A button allows restarting the demo.</w:t>
      </w:r>
    </w:p>
    <w:p>
      <w:r>
        <w:br/>
        <w:t>Built by Alis Grave Nil – G20 TechSprint Submission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