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FS Cloud Migration Plan</w:t>
      </w:r>
    </w:p>
    <w:p>
      <w:pPr>
        <w:pStyle w:val="Heading2"/>
      </w:pPr>
      <w:r>
        <w:t>VSI to OpenShift Migration – URL Preservation Strategy</w:t>
      </w:r>
    </w:p>
    <w:p>
      <w:r>
        <w:t>Start Date: 16 February 2026</w:t>
      </w:r>
    </w:p>
    <w:p>
      <w:r>
        <w:t>Q1 Milestone Target: 31 March 2026</w:t>
      </w:r>
    </w:p>
    <w:p>
      <w:r>
        <w:t>Production Migration Target: Early April 2026</w:t>
      </w:r>
    </w:p>
    <w:p>
      <w:pPr>
        <w:pStyle w:val="Heading2"/>
      </w:pPr>
      <w:r>
        <w:t>1. Executive Summary</w:t>
      </w:r>
    </w:p>
    <w:p>
      <w:r>
        <w:t>This document describes the migration of CIDP/DXP environments from a Virtual Server Instance (VSI)-based architecture to OpenShift within FS Cloud. The migration includes both application layer transition and associated database migration where applicable. The objective is to preserve existing public URLs, DNS entries, and Apigee base paths while transitioning infrastructure components.</w:t>
      </w:r>
    </w:p>
    <w:p>
      <w:pPr>
        <w:pStyle w:val="Heading2"/>
      </w:pPr>
      <w:r>
        <w:t>2. Current and Target Architecture</w:t>
      </w:r>
    </w:p>
    <w:p>
      <w:r>
        <w:t>Current Architecture (VSI-Based):</w:t>
        <w:br/>
        <w:t>- IBM Cloud CIS (WAF)</w:t>
        <w:br/>
        <w:t>- Apigee API Gateway</w:t>
        <w:br/>
        <w:t>- Backend services deployed on VSI</w:t>
        <w:br/>
        <w:t>- Database hosted on VSI-based infrastructure</w:t>
        <w:br/>
        <w:br/>
        <w:t>Target Architecture (OpenShift-Based):</w:t>
        <w:br/>
        <w:t>- IBM Cloud CIS (unchanged)</w:t>
        <w:br/>
        <w:t>- Apigee API Gateway (externally unchanged)</w:t>
        <w:br/>
        <w:t>- Backend services deployed on OpenShift</w:t>
        <w:br/>
        <w:t>- Database migrated/aligned with target infrastructure</w:t>
        <w:br/>
        <w:br/>
        <w:t>External hostnames and DNS entries remain unchanged.</w:t>
      </w:r>
    </w:p>
    <w:p>
      <w:pPr>
        <w:pStyle w:val="Heading2"/>
      </w:pPr>
      <w:r>
        <w:t>3. Release Alignment Requirement</w:t>
      </w:r>
    </w:p>
    <w:p>
      <w:r>
        <w:t>For each environment, the OpenShift deployment must use the exact same release version currently running on VSI. The image tag and artifact version must be verified before migration. No concurrent feature release is allowed during migration windows. A change freeze must be applied.</w:t>
      </w:r>
    </w:p>
    <w:p>
      <w:pPr>
        <w:pStyle w:val="Heading2"/>
      </w:pPr>
      <w:r>
        <w:t>4. Database Migration &amp; Maintenance Window</w:t>
      </w:r>
    </w:p>
    <w:p>
      <w:r>
        <w:t>Database migration is included in the scope of this plan. For each environment migration, a maintenance window of approximately 4 hours must be scheduled.</w:t>
        <w:br/>
        <w:br/>
        <w:t>During this maintenance window:</w:t>
        <w:br/>
        <w:t>- Database write operations must be frozen.</w:t>
        <w:br/>
        <w:t>- Application access may be temporarily restricted.</w:t>
        <w:br/>
        <w:t>- Data consistency verification must be performed.</w:t>
        <w:br/>
        <w:t>- Final synchronization (if required) must be executed.</w:t>
        <w:br/>
        <w:br/>
        <w:t>The maintenance window must be communicated in advance to all stakeholders.</w:t>
      </w:r>
    </w:p>
    <w:p>
      <w:pPr>
        <w:pStyle w:val="Heading2"/>
      </w:pPr>
      <w:r>
        <w:t>5. Validation Model</w:t>
      </w:r>
    </w:p>
    <w:p>
      <w:r>
        <w:t>Validation is executed in parallel by HO (France) and LATAM teams and includes:</w:t>
        <w:br/>
        <w:t>- URL reachability checks</w:t>
        <w:br/>
        <w:t>- API validation (where applicable)</w:t>
        <w:br/>
        <w:t>- Routing verification (CIS to Apigee to OpenShift)</w:t>
        <w:br/>
        <w:t>- Database connectivity validation</w:t>
        <w:br/>
        <w:t>- Log inspection</w:t>
        <w:br/>
        <w:t>- Basic stability and smoke testing</w:t>
      </w:r>
    </w:p>
    <w:p>
      <w:pPr>
        <w:pStyle w:val="Heading2"/>
      </w:pPr>
      <w:r>
        <w:t>6. Migration Planning by Environment</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Environment</w:t>
            </w:r>
          </w:p>
        </w:tc>
        <w:tc>
          <w:tcPr>
            <w:tcW w:type="dxa" w:w="1234"/>
          </w:tcPr>
          <w:p>
            <w:r>
              <w:t>Migration Date</w:t>
            </w:r>
          </w:p>
        </w:tc>
        <w:tc>
          <w:tcPr>
            <w:tcW w:type="dxa" w:w="1234"/>
          </w:tcPr>
          <w:p>
            <w:r>
              <w:t>Maintenance Window (4h)</w:t>
            </w:r>
          </w:p>
        </w:tc>
        <w:tc>
          <w:tcPr>
            <w:tcW w:type="dxa" w:w="1234"/>
          </w:tcPr>
          <w:p>
            <w:r>
              <w:t>Validation Window</w:t>
            </w:r>
          </w:p>
        </w:tc>
        <w:tc>
          <w:tcPr>
            <w:tcW w:type="dxa" w:w="1234"/>
          </w:tcPr>
          <w:p>
            <w:r>
              <w:t>Duration</w:t>
            </w:r>
          </w:p>
        </w:tc>
        <w:tc>
          <w:tcPr>
            <w:tcW w:type="dxa" w:w="1234"/>
          </w:tcPr>
          <w:p>
            <w:r>
              <w:t>Sign-off</w:t>
            </w:r>
          </w:p>
        </w:tc>
        <w:tc>
          <w:tcPr>
            <w:tcW w:type="dxa" w:w="1234"/>
          </w:tcPr>
          <w:p>
            <w:r>
              <w:t>Notes</w:t>
            </w:r>
          </w:p>
        </w:tc>
      </w:tr>
      <w:tr>
        <w:tc>
          <w:tcPr>
            <w:tcW w:type="dxa" w:w="1234"/>
          </w:tcPr>
          <w:p>
            <w:r>
              <w:t>APPP07</w:t>
            </w:r>
          </w:p>
        </w:tc>
        <w:tc>
          <w:tcPr>
            <w:tcW w:type="dxa" w:w="1234"/>
          </w:tcPr>
          <w:p>
            <w:r>
              <w:t>Already migrated</w:t>
            </w:r>
          </w:p>
        </w:tc>
        <w:tc>
          <w:tcPr>
            <w:tcW w:type="dxa" w:w="1234"/>
          </w:tcPr>
          <w:p>
            <w:r>
              <w:t>N/A</w:t>
            </w:r>
          </w:p>
        </w:tc>
        <w:tc>
          <w:tcPr>
            <w:tcW w:type="dxa" w:w="1234"/>
          </w:tcPr>
          <w:p>
            <w:r>
              <w:t>16–17 Feb</w:t>
            </w:r>
          </w:p>
        </w:tc>
        <w:tc>
          <w:tcPr>
            <w:tcW w:type="dxa" w:w="1234"/>
          </w:tcPr>
          <w:p>
            <w:r>
              <w:t>2 days</w:t>
            </w:r>
          </w:p>
        </w:tc>
        <w:tc>
          <w:tcPr>
            <w:tcW w:type="dxa" w:w="1234"/>
          </w:tcPr>
          <w:p>
            <w:r>
              <w:t>18 Feb</w:t>
            </w:r>
          </w:p>
        </w:tc>
        <w:tc>
          <w:tcPr>
            <w:tcW w:type="dxa" w:w="1234"/>
          </w:tcPr>
          <w:p>
            <w:r>
              <w:t>No API</w:t>
            </w:r>
          </w:p>
        </w:tc>
      </w:tr>
      <w:tr>
        <w:tc>
          <w:tcPr>
            <w:tcW w:type="dxa" w:w="1234"/>
          </w:tcPr>
          <w:p>
            <w:r>
              <w:t>APPP06</w:t>
            </w:r>
          </w:p>
        </w:tc>
        <w:tc>
          <w:tcPr>
            <w:tcW w:type="dxa" w:w="1234"/>
          </w:tcPr>
          <w:p>
            <w:r>
              <w:t>23 Feb</w:t>
            </w:r>
          </w:p>
        </w:tc>
        <w:tc>
          <w:tcPr>
            <w:tcW w:type="dxa" w:w="1234"/>
          </w:tcPr>
          <w:p>
            <w:r>
              <w:t>23 Feb (4h)</w:t>
            </w:r>
          </w:p>
        </w:tc>
        <w:tc>
          <w:tcPr>
            <w:tcW w:type="dxa" w:w="1234"/>
          </w:tcPr>
          <w:p>
            <w:r>
              <w:t>24–25 Feb</w:t>
            </w:r>
          </w:p>
        </w:tc>
        <w:tc>
          <w:tcPr>
            <w:tcW w:type="dxa" w:w="1234"/>
          </w:tcPr>
          <w:p>
            <w:r>
              <w:t>2 days</w:t>
            </w:r>
          </w:p>
        </w:tc>
        <w:tc>
          <w:tcPr>
            <w:tcW w:type="dxa" w:w="1234"/>
          </w:tcPr>
          <w:p>
            <w:r>
              <w:t>26 Feb</w:t>
            </w:r>
          </w:p>
        </w:tc>
        <w:tc>
          <w:tcPr>
            <w:tcW w:type="dxa" w:w="1234"/>
          </w:tcPr>
          <w:p>
            <w:r>
              <w:t>Sandbox</w:t>
            </w:r>
          </w:p>
        </w:tc>
      </w:tr>
      <w:tr>
        <w:tc>
          <w:tcPr>
            <w:tcW w:type="dxa" w:w="1234"/>
          </w:tcPr>
          <w:p>
            <w:r>
              <w:t>APPP01</w:t>
            </w:r>
          </w:p>
        </w:tc>
        <w:tc>
          <w:tcPr>
            <w:tcW w:type="dxa" w:w="1234"/>
          </w:tcPr>
          <w:p>
            <w:r>
              <w:t>26 Feb</w:t>
            </w:r>
          </w:p>
        </w:tc>
        <w:tc>
          <w:tcPr>
            <w:tcW w:type="dxa" w:w="1234"/>
          </w:tcPr>
          <w:p>
            <w:r>
              <w:t>26 Feb (4h)</w:t>
            </w:r>
          </w:p>
        </w:tc>
        <w:tc>
          <w:tcPr>
            <w:tcW w:type="dxa" w:w="1234"/>
          </w:tcPr>
          <w:p>
            <w:r>
              <w:t>27 Feb – 3 Mar</w:t>
            </w:r>
          </w:p>
        </w:tc>
        <w:tc>
          <w:tcPr>
            <w:tcW w:type="dxa" w:w="1234"/>
          </w:tcPr>
          <w:p>
            <w:r>
              <w:t>3 days</w:t>
            </w:r>
          </w:p>
        </w:tc>
        <w:tc>
          <w:tcPr>
            <w:tcW w:type="dxa" w:w="1234"/>
          </w:tcPr>
          <w:p>
            <w:r>
              <w:t>4 Mar</w:t>
            </w:r>
          </w:p>
        </w:tc>
        <w:tc>
          <w:tcPr>
            <w:tcW w:type="dxa" w:w="1234"/>
          </w:tcPr>
          <w:p>
            <w:r>
              <w:t>Standard</w:t>
            </w:r>
          </w:p>
        </w:tc>
      </w:tr>
      <w:tr>
        <w:tc>
          <w:tcPr>
            <w:tcW w:type="dxa" w:w="1234"/>
          </w:tcPr>
          <w:p>
            <w:r>
              <w:t>APPP03</w:t>
            </w:r>
          </w:p>
        </w:tc>
        <w:tc>
          <w:tcPr>
            <w:tcW w:type="dxa" w:w="1234"/>
          </w:tcPr>
          <w:p>
            <w:r>
              <w:t>4 Mar</w:t>
            </w:r>
          </w:p>
        </w:tc>
        <w:tc>
          <w:tcPr>
            <w:tcW w:type="dxa" w:w="1234"/>
          </w:tcPr>
          <w:p>
            <w:r>
              <w:t>4 Mar (4h)</w:t>
            </w:r>
          </w:p>
        </w:tc>
        <w:tc>
          <w:tcPr>
            <w:tcW w:type="dxa" w:w="1234"/>
          </w:tcPr>
          <w:p>
            <w:r>
              <w:t>5–6 Mar</w:t>
            </w:r>
          </w:p>
        </w:tc>
        <w:tc>
          <w:tcPr>
            <w:tcW w:type="dxa" w:w="1234"/>
          </w:tcPr>
          <w:p>
            <w:r>
              <w:t>2 days</w:t>
            </w:r>
          </w:p>
        </w:tc>
        <w:tc>
          <w:tcPr>
            <w:tcW w:type="dxa" w:w="1234"/>
          </w:tcPr>
          <w:p>
            <w:r>
              <w:t>6 Mar</w:t>
            </w:r>
          </w:p>
        </w:tc>
        <w:tc>
          <w:tcPr>
            <w:tcW w:type="dxa" w:w="1234"/>
          </w:tcPr>
          <w:p>
            <w:r>
              <w:t>Standard</w:t>
            </w:r>
          </w:p>
        </w:tc>
      </w:tr>
      <w:tr>
        <w:tc>
          <w:tcPr>
            <w:tcW w:type="dxa" w:w="1234"/>
          </w:tcPr>
          <w:p>
            <w:r>
              <w:t>APPP04</w:t>
            </w:r>
          </w:p>
        </w:tc>
        <w:tc>
          <w:tcPr>
            <w:tcW w:type="dxa" w:w="1234"/>
          </w:tcPr>
          <w:p>
            <w:r>
              <w:t>9 Mar</w:t>
            </w:r>
          </w:p>
        </w:tc>
        <w:tc>
          <w:tcPr>
            <w:tcW w:type="dxa" w:w="1234"/>
          </w:tcPr>
          <w:p>
            <w:r>
              <w:t>9 Mar (4h)</w:t>
            </w:r>
          </w:p>
        </w:tc>
        <w:tc>
          <w:tcPr>
            <w:tcW w:type="dxa" w:w="1234"/>
          </w:tcPr>
          <w:p>
            <w:r>
              <w:t>10–11 Mar</w:t>
            </w:r>
          </w:p>
        </w:tc>
        <w:tc>
          <w:tcPr>
            <w:tcW w:type="dxa" w:w="1234"/>
          </w:tcPr>
          <w:p>
            <w:r>
              <w:t>2 days</w:t>
            </w:r>
          </w:p>
        </w:tc>
        <w:tc>
          <w:tcPr>
            <w:tcW w:type="dxa" w:w="1234"/>
          </w:tcPr>
          <w:p>
            <w:r>
              <w:t>11 Mar</w:t>
            </w:r>
          </w:p>
        </w:tc>
        <w:tc>
          <w:tcPr>
            <w:tcW w:type="dxa" w:w="1234"/>
          </w:tcPr>
          <w:p>
            <w:r>
              <w:t>Standard</w:t>
            </w:r>
          </w:p>
        </w:tc>
      </w:tr>
      <w:tr>
        <w:tc>
          <w:tcPr>
            <w:tcW w:type="dxa" w:w="1234"/>
          </w:tcPr>
          <w:p>
            <w:r>
              <w:t>APPP05</w:t>
            </w:r>
          </w:p>
        </w:tc>
        <w:tc>
          <w:tcPr>
            <w:tcW w:type="dxa" w:w="1234"/>
          </w:tcPr>
          <w:p>
            <w:r>
              <w:t>11 Mar</w:t>
            </w:r>
          </w:p>
        </w:tc>
        <w:tc>
          <w:tcPr>
            <w:tcW w:type="dxa" w:w="1234"/>
          </w:tcPr>
          <w:p>
            <w:r>
              <w:t>11 Mar (4h)</w:t>
            </w:r>
          </w:p>
        </w:tc>
        <w:tc>
          <w:tcPr>
            <w:tcW w:type="dxa" w:w="1234"/>
          </w:tcPr>
          <w:p>
            <w:r>
              <w:t>12–13 Mar</w:t>
            </w:r>
          </w:p>
        </w:tc>
        <w:tc>
          <w:tcPr>
            <w:tcW w:type="dxa" w:w="1234"/>
          </w:tcPr>
          <w:p>
            <w:r>
              <w:t>2 days</w:t>
            </w:r>
          </w:p>
        </w:tc>
        <w:tc>
          <w:tcPr>
            <w:tcW w:type="dxa" w:w="1234"/>
          </w:tcPr>
          <w:p>
            <w:r>
              <w:t>13 Mar</w:t>
            </w:r>
          </w:p>
        </w:tc>
        <w:tc>
          <w:tcPr>
            <w:tcW w:type="dxa" w:w="1234"/>
          </w:tcPr>
          <w:p>
            <w:r>
              <w:t>Standard</w:t>
            </w:r>
          </w:p>
        </w:tc>
      </w:tr>
      <w:tr>
        <w:tc>
          <w:tcPr>
            <w:tcW w:type="dxa" w:w="1234"/>
          </w:tcPr>
          <w:p>
            <w:r>
              <w:t>APPP02 (QA)</w:t>
            </w:r>
          </w:p>
        </w:tc>
        <w:tc>
          <w:tcPr>
            <w:tcW w:type="dxa" w:w="1234"/>
          </w:tcPr>
          <w:p>
            <w:r>
              <w:t>16 Mar</w:t>
            </w:r>
          </w:p>
        </w:tc>
        <w:tc>
          <w:tcPr>
            <w:tcW w:type="dxa" w:w="1234"/>
          </w:tcPr>
          <w:p>
            <w:r>
              <w:t>16 Mar (4h)</w:t>
            </w:r>
          </w:p>
        </w:tc>
        <w:tc>
          <w:tcPr>
            <w:tcW w:type="dxa" w:w="1234"/>
          </w:tcPr>
          <w:p>
            <w:r>
              <w:t>17–20 Mar</w:t>
            </w:r>
          </w:p>
        </w:tc>
        <w:tc>
          <w:tcPr>
            <w:tcW w:type="dxa" w:w="1234"/>
          </w:tcPr>
          <w:p>
            <w:r>
              <w:t>5 days</w:t>
            </w:r>
          </w:p>
        </w:tc>
        <w:tc>
          <w:tcPr>
            <w:tcW w:type="dxa" w:w="1234"/>
          </w:tcPr>
          <w:p>
            <w:r>
              <w:t>20 Mar</w:t>
            </w:r>
          </w:p>
        </w:tc>
        <w:tc>
          <w:tcPr>
            <w:tcW w:type="dxa" w:w="1234"/>
          </w:tcPr>
          <w:p>
            <w:r>
              <w:t>Complex</w:t>
            </w:r>
          </w:p>
        </w:tc>
      </w:tr>
      <w:tr>
        <w:tc>
          <w:tcPr>
            <w:tcW w:type="dxa" w:w="1234"/>
          </w:tcPr>
          <w:p>
            <w:r>
              <w:t>UAT</w:t>
            </w:r>
          </w:p>
        </w:tc>
        <w:tc>
          <w:tcPr>
            <w:tcW w:type="dxa" w:w="1234"/>
          </w:tcPr>
          <w:p>
            <w:r>
              <w:t>23 Mar</w:t>
            </w:r>
          </w:p>
        </w:tc>
        <w:tc>
          <w:tcPr>
            <w:tcW w:type="dxa" w:w="1234"/>
          </w:tcPr>
          <w:p>
            <w:r>
              <w:t>23 Mar (4h)</w:t>
            </w:r>
          </w:p>
        </w:tc>
        <w:tc>
          <w:tcPr>
            <w:tcW w:type="dxa" w:w="1234"/>
          </w:tcPr>
          <w:p>
            <w:r>
              <w:t>24–27 Mar</w:t>
            </w:r>
          </w:p>
        </w:tc>
        <w:tc>
          <w:tcPr>
            <w:tcW w:type="dxa" w:w="1234"/>
          </w:tcPr>
          <w:p>
            <w:r>
              <w:t>5 days</w:t>
            </w:r>
          </w:p>
        </w:tc>
        <w:tc>
          <w:tcPr>
            <w:tcW w:type="dxa" w:w="1234"/>
          </w:tcPr>
          <w:p>
            <w:r>
              <w:t>27 Mar</w:t>
            </w:r>
          </w:p>
        </w:tc>
        <w:tc>
          <w:tcPr>
            <w:tcW w:type="dxa" w:w="1234"/>
          </w:tcPr>
          <w:p>
            <w:r>
              <w:t>Business validation</w:t>
            </w:r>
          </w:p>
        </w:tc>
      </w:tr>
      <w:tr>
        <w:tc>
          <w:tcPr>
            <w:tcW w:type="dxa" w:w="1234"/>
          </w:tcPr>
          <w:p>
            <w:r>
              <w:t>STAGE</w:t>
            </w:r>
          </w:p>
        </w:tc>
        <w:tc>
          <w:tcPr>
            <w:tcW w:type="dxa" w:w="1234"/>
          </w:tcPr>
          <w:p>
            <w:r>
              <w:t>30 Mar</w:t>
            </w:r>
          </w:p>
        </w:tc>
        <w:tc>
          <w:tcPr>
            <w:tcW w:type="dxa" w:w="1234"/>
          </w:tcPr>
          <w:p>
            <w:r>
              <w:t>30 Mar (4h)</w:t>
            </w:r>
          </w:p>
        </w:tc>
        <w:tc>
          <w:tcPr>
            <w:tcW w:type="dxa" w:w="1234"/>
          </w:tcPr>
          <w:p>
            <w:r>
              <w:t>31 Mar</w:t>
            </w:r>
          </w:p>
        </w:tc>
        <w:tc>
          <w:tcPr>
            <w:tcW w:type="dxa" w:w="1234"/>
          </w:tcPr>
          <w:p>
            <w:r>
              <w:t>2 days</w:t>
            </w:r>
          </w:p>
        </w:tc>
        <w:tc>
          <w:tcPr>
            <w:tcW w:type="dxa" w:w="1234"/>
          </w:tcPr>
          <w:p>
            <w:r>
              <w:t>31 Mar</w:t>
            </w:r>
          </w:p>
        </w:tc>
        <w:tc>
          <w:tcPr>
            <w:tcW w:type="dxa" w:w="1234"/>
          </w:tcPr>
          <w:p>
            <w:r>
              <w:t>Smoke only</w:t>
            </w:r>
          </w:p>
        </w:tc>
      </w:tr>
      <w:tr>
        <w:tc>
          <w:tcPr>
            <w:tcW w:type="dxa" w:w="1234"/>
          </w:tcPr>
          <w:p>
            <w:r>
              <w:t>PROD</w:t>
            </w:r>
          </w:p>
        </w:tc>
        <w:tc>
          <w:tcPr>
            <w:tcW w:type="dxa" w:w="1234"/>
          </w:tcPr>
          <w:p>
            <w:r>
              <w:t>6 Apr</w:t>
            </w:r>
          </w:p>
        </w:tc>
        <w:tc>
          <w:tcPr>
            <w:tcW w:type="dxa" w:w="1234"/>
          </w:tcPr>
          <w:p>
            <w:r>
              <w:t>6 Apr (4h)</w:t>
            </w:r>
          </w:p>
        </w:tc>
        <w:tc>
          <w:tcPr>
            <w:tcW w:type="dxa" w:w="1234"/>
          </w:tcPr>
          <w:p>
            <w:r>
              <w:t>7–10 Apr</w:t>
            </w:r>
          </w:p>
        </w:tc>
        <w:tc>
          <w:tcPr>
            <w:tcW w:type="dxa" w:w="1234"/>
          </w:tcPr>
          <w:p>
            <w:r>
              <w:t>5 days</w:t>
            </w:r>
          </w:p>
        </w:tc>
        <w:tc>
          <w:tcPr>
            <w:tcW w:type="dxa" w:w="1234"/>
          </w:tcPr>
          <w:p>
            <w:r>
              <w:t>10 Apr</w:t>
            </w:r>
          </w:p>
        </w:tc>
        <w:tc>
          <w:tcPr>
            <w:tcW w:type="dxa" w:w="1234"/>
          </w:tcPr>
          <w:p>
            <w:r>
              <w:t>Governance window</w:t>
            </w:r>
          </w:p>
        </w:tc>
      </w:tr>
    </w:tbl>
    <w:p>
      <w:pPr>
        <w:pStyle w:val="Heading2"/>
      </w:pPr>
      <w:r>
        <w:t>7. Rollback Strategy</w:t>
      </w:r>
    </w:p>
    <w:p>
      <w:r>
        <w:t>If any issue occurs after migration:</w:t>
        <w:br/>
        <w:t>- Apigee target can be reverted to VSI.</w:t>
        <w:br/>
        <w:t>- Database rollback procedure must be executed if necessary.</w:t>
        <w:br/>
        <w:t>- VSI infrastructure remains available during validation.</w:t>
        <w:br/>
        <w:t>- Migration is considered final only after formal sign-off.</w:t>
      </w:r>
    </w:p>
    <w:p>
      <w:pPr>
        <w:pStyle w:val="Heading2"/>
      </w:pPr>
      <w:r>
        <w:t>8. Conclusion</w:t>
      </w:r>
    </w:p>
    <w:p>
      <w:r>
        <w:t>All non-production environments will be migrated before the end of Q1 2026, including database alignment. Production migration is scheduled for early April 2026 under governance supervision. Strict release alignment, controlled validation, and planned maintenance windows are key success factors.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