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FS Cloud Migration Plan</w:t>
      </w:r>
    </w:p>
    <w:p>
      <w:pPr>
        <w:pStyle w:val="Heading2"/>
      </w:pPr>
      <w:r>
        <w:t>VSI to OpenShift Migration – URL Preservation Strategy</w:t>
      </w:r>
    </w:p>
    <w:p>
      <w:r>
        <w:t>Start Date: 16 February 2026</w:t>
      </w:r>
    </w:p>
    <w:p>
      <w:r>
        <w:t>Q1 Milestone Target: 31 March 2026</w:t>
      </w:r>
    </w:p>
    <w:p>
      <w:r>
        <w:t>Production Migration Target: Early April 2026</w:t>
      </w:r>
    </w:p>
    <w:p>
      <w:pPr>
        <w:pStyle w:val="Heading2"/>
      </w:pPr>
      <w:r>
        <w:t>1. Executive Summary</w:t>
      </w:r>
    </w:p>
    <w:p>
      <w:r>
        <w:t>This document describes the migration of CIDP/DXP environments from a Virtual Server Instance (VSI)-based architecture to OpenShift within FS Cloud. The objective is to migrate backend workloads while preserving existing public URLs, DNS entries, and Apigee base paths. The migration is infrastructure-only and does not include any functional or application release changes.</w:t>
      </w:r>
    </w:p>
    <w:p>
      <w:pPr>
        <w:pStyle w:val="Heading2"/>
      </w:pPr>
      <w:r>
        <w:t>2. Current and Target Architecture</w:t>
      </w:r>
    </w:p>
    <w:p>
      <w:r>
        <w:t>Current Architecture (VSI-Based):</w:t>
        <w:br/>
        <w:t>- IBM Cloud CIS (WAF)</w:t>
        <w:br/>
        <w:t>- Apigee API Gateway</w:t>
        <w:br/>
        <w:t>- Backend services deployed on VSI</w:t>
        <w:br/>
        <w:br/>
        <w:t>Target Architecture (OpenShift-Based):</w:t>
        <w:br/>
        <w:t>- IBM Cloud CIS (unchanged)</w:t>
        <w:br/>
        <w:t>- Apigee API Gateway (externally unchanged)</w:t>
        <w:br/>
        <w:t>- Backend services deployed on OpenShift</w:t>
        <w:br/>
        <w:t>- OpenShift routes replacing VSI targets</w:t>
        <w:br/>
        <w:br/>
        <w:t>External hostnames and DNS entries remain unchanged.</w:t>
      </w:r>
    </w:p>
    <w:p>
      <w:pPr>
        <w:pStyle w:val="Heading2"/>
      </w:pPr>
      <w:r>
        <w:t>3. Release Alignment Requirement</w:t>
      </w:r>
    </w:p>
    <w:p>
      <w:r>
        <w:t>For each environment, the OpenShift deployment must use the exact same release version currently running on VSI. The image tag and artifact version must be verified before migration. No concurrent feature release is allowed during migration windows. A change freeze must be applied.</w:t>
      </w:r>
    </w:p>
    <w:p>
      <w:pPr>
        <w:pStyle w:val="Heading2"/>
      </w:pPr>
      <w:r>
        <w:t>4. Validation Model</w:t>
      </w:r>
    </w:p>
    <w:p>
      <w:r>
        <w:t>Validation is executed in parallel by HO (France) and LATAM teams and includes:</w:t>
        <w:br/>
        <w:t>- URL reachability checks</w:t>
        <w:br/>
        <w:t>- API validation (where applicable)</w:t>
        <w:br/>
        <w:t>- Routing verification (CIS to Apigee to OpenShift)</w:t>
        <w:br/>
        <w:t>- Log inspection</w:t>
        <w:br/>
        <w:t>- Basic stability and smoke testing</w:t>
      </w:r>
    </w:p>
    <w:p>
      <w:pPr>
        <w:pStyle w:val="Heading2"/>
      </w:pPr>
      <w:r>
        <w:t>5. Migration Planning by Environment</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Environment</w:t>
            </w:r>
          </w:p>
        </w:tc>
        <w:tc>
          <w:tcPr>
            <w:tcW w:type="dxa" w:w="1440"/>
          </w:tcPr>
          <w:p>
            <w:r>
              <w:t>Migration Date</w:t>
            </w:r>
          </w:p>
        </w:tc>
        <w:tc>
          <w:tcPr>
            <w:tcW w:type="dxa" w:w="1440"/>
          </w:tcPr>
          <w:p>
            <w:r>
              <w:t>Validation Window</w:t>
            </w:r>
          </w:p>
        </w:tc>
        <w:tc>
          <w:tcPr>
            <w:tcW w:type="dxa" w:w="1440"/>
          </w:tcPr>
          <w:p>
            <w:r>
              <w:t>Duration</w:t>
            </w:r>
          </w:p>
        </w:tc>
        <w:tc>
          <w:tcPr>
            <w:tcW w:type="dxa" w:w="1440"/>
          </w:tcPr>
          <w:p>
            <w:r>
              <w:t>Sign-off</w:t>
            </w:r>
          </w:p>
        </w:tc>
        <w:tc>
          <w:tcPr>
            <w:tcW w:type="dxa" w:w="1440"/>
          </w:tcPr>
          <w:p>
            <w:r>
              <w:t>Notes</w:t>
            </w:r>
          </w:p>
        </w:tc>
      </w:tr>
      <w:tr>
        <w:tc>
          <w:tcPr>
            <w:tcW w:type="dxa" w:w="1440"/>
          </w:tcPr>
          <w:p>
            <w:r>
              <w:t>APPP07</w:t>
            </w:r>
          </w:p>
        </w:tc>
        <w:tc>
          <w:tcPr>
            <w:tcW w:type="dxa" w:w="1440"/>
          </w:tcPr>
          <w:p>
            <w:r>
              <w:t>Already migrated</w:t>
            </w:r>
          </w:p>
        </w:tc>
        <w:tc>
          <w:tcPr>
            <w:tcW w:type="dxa" w:w="1440"/>
          </w:tcPr>
          <w:p>
            <w:r>
              <w:t>16–17 Feb</w:t>
            </w:r>
          </w:p>
        </w:tc>
        <w:tc>
          <w:tcPr>
            <w:tcW w:type="dxa" w:w="1440"/>
          </w:tcPr>
          <w:p>
            <w:r>
              <w:t>2 days</w:t>
            </w:r>
          </w:p>
        </w:tc>
        <w:tc>
          <w:tcPr>
            <w:tcW w:type="dxa" w:w="1440"/>
          </w:tcPr>
          <w:p>
            <w:r>
              <w:t>18 Feb</w:t>
            </w:r>
          </w:p>
        </w:tc>
        <w:tc>
          <w:tcPr>
            <w:tcW w:type="dxa" w:w="1440"/>
          </w:tcPr>
          <w:p>
            <w:r>
              <w:t>No API</w:t>
            </w:r>
          </w:p>
        </w:tc>
      </w:tr>
      <w:tr>
        <w:tc>
          <w:tcPr>
            <w:tcW w:type="dxa" w:w="1440"/>
          </w:tcPr>
          <w:p>
            <w:r>
              <w:t>APPP06</w:t>
            </w:r>
          </w:p>
        </w:tc>
        <w:tc>
          <w:tcPr>
            <w:tcW w:type="dxa" w:w="1440"/>
          </w:tcPr>
          <w:p>
            <w:r>
              <w:t>23 Feb</w:t>
            </w:r>
          </w:p>
        </w:tc>
        <w:tc>
          <w:tcPr>
            <w:tcW w:type="dxa" w:w="1440"/>
          </w:tcPr>
          <w:p>
            <w:r>
              <w:t>24–25 Feb</w:t>
            </w:r>
          </w:p>
        </w:tc>
        <w:tc>
          <w:tcPr>
            <w:tcW w:type="dxa" w:w="1440"/>
          </w:tcPr>
          <w:p>
            <w:r>
              <w:t>2 days</w:t>
            </w:r>
          </w:p>
        </w:tc>
        <w:tc>
          <w:tcPr>
            <w:tcW w:type="dxa" w:w="1440"/>
          </w:tcPr>
          <w:p>
            <w:r>
              <w:t>26 Feb</w:t>
            </w:r>
          </w:p>
        </w:tc>
        <w:tc>
          <w:tcPr>
            <w:tcW w:type="dxa" w:w="1440"/>
          </w:tcPr>
          <w:p>
            <w:r>
              <w:t>Sandbox</w:t>
            </w:r>
          </w:p>
        </w:tc>
      </w:tr>
      <w:tr>
        <w:tc>
          <w:tcPr>
            <w:tcW w:type="dxa" w:w="1440"/>
          </w:tcPr>
          <w:p>
            <w:r>
              <w:t>APPP01</w:t>
            </w:r>
          </w:p>
        </w:tc>
        <w:tc>
          <w:tcPr>
            <w:tcW w:type="dxa" w:w="1440"/>
          </w:tcPr>
          <w:p>
            <w:r>
              <w:t>26 Feb</w:t>
            </w:r>
          </w:p>
        </w:tc>
        <w:tc>
          <w:tcPr>
            <w:tcW w:type="dxa" w:w="1440"/>
          </w:tcPr>
          <w:p>
            <w:r>
              <w:t>27 Feb – 3 Mar</w:t>
            </w:r>
          </w:p>
        </w:tc>
        <w:tc>
          <w:tcPr>
            <w:tcW w:type="dxa" w:w="1440"/>
          </w:tcPr>
          <w:p>
            <w:r>
              <w:t>3 days</w:t>
            </w:r>
          </w:p>
        </w:tc>
        <w:tc>
          <w:tcPr>
            <w:tcW w:type="dxa" w:w="1440"/>
          </w:tcPr>
          <w:p>
            <w:r>
              <w:t>4 Mar</w:t>
            </w:r>
          </w:p>
        </w:tc>
        <w:tc>
          <w:tcPr>
            <w:tcW w:type="dxa" w:w="1440"/>
          </w:tcPr>
          <w:p>
            <w:r>
              <w:t>Standard</w:t>
            </w:r>
          </w:p>
        </w:tc>
      </w:tr>
      <w:tr>
        <w:tc>
          <w:tcPr>
            <w:tcW w:type="dxa" w:w="1440"/>
          </w:tcPr>
          <w:p>
            <w:r>
              <w:t>APPP03</w:t>
            </w:r>
          </w:p>
        </w:tc>
        <w:tc>
          <w:tcPr>
            <w:tcW w:type="dxa" w:w="1440"/>
          </w:tcPr>
          <w:p>
            <w:r>
              <w:t>4 Mar</w:t>
            </w:r>
          </w:p>
        </w:tc>
        <w:tc>
          <w:tcPr>
            <w:tcW w:type="dxa" w:w="1440"/>
          </w:tcPr>
          <w:p>
            <w:r>
              <w:t>5–6 Mar</w:t>
            </w:r>
          </w:p>
        </w:tc>
        <w:tc>
          <w:tcPr>
            <w:tcW w:type="dxa" w:w="1440"/>
          </w:tcPr>
          <w:p>
            <w:r>
              <w:t>2 days</w:t>
            </w:r>
          </w:p>
        </w:tc>
        <w:tc>
          <w:tcPr>
            <w:tcW w:type="dxa" w:w="1440"/>
          </w:tcPr>
          <w:p>
            <w:r>
              <w:t>6 Mar</w:t>
            </w:r>
          </w:p>
        </w:tc>
        <w:tc>
          <w:tcPr>
            <w:tcW w:type="dxa" w:w="1440"/>
          </w:tcPr>
          <w:p>
            <w:r>
              <w:t>Standard</w:t>
            </w:r>
          </w:p>
        </w:tc>
      </w:tr>
      <w:tr>
        <w:tc>
          <w:tcPr>
            <w:tcW w:type="dxa" w:w="1440"/>
          </w:tcPr>
          <w:p>
            <w:r>
              <w:t>APPP04</w:t>
            </w:r>
          </w:p>
        </w:tc>
        <w:tc>
          <w:tcPr>
            <w:tcW w:type="dxa" w:w="1440"/>
          </w:tcPr>
          <w:p>
            <w:r>
              <w:t>9 Mar</w:t>
            </w:r>
          </w:p>
        </w:tc>
        <w:tc>
          <w:tcPr>
            <w:tcW w:type="dxa" w:w="1440"/>
          </w:tcPr>
          <w:p>
            <w:r>
              <w:t>10–11 Mar</w:t>
            </w:r>
          </w:p>
        </w:tc>
        <w:tc>
          <w:tcPr>
            <w:tcW w:type="dxa" w:w="1440"/>
          </w:tcPr>
          <w:p>
            <w:r>
              <w:t>2 days</w:t>
            </w:r>
          </w:p>
        </w:tc>
        <w:tc>
          <w:tcPr>
            <w:tcW w:type="dxa" w:w="1440"/>
          </w:tcPr>
          <w:p>
            <w:r>
              <w:t>11 Mar</w:t>
            </w:r>
          </w:p>
        </w:tc>
        <w:tc>
          <w:tcPr>
            <w:tcW w:type="dxa" w:w="1440"/>
          </w:tcPr>
          <w:p>
            <w:r>
              <w:t>Standard</w:t>
            </w:r>
          </w:p>
        </w:tc>
      </w:tr>
      <w:tr>
        <w:tc>
          <w:tcPr>
            <w:tcW w:type="dxa" w:w="1440"/>
          </w:tcPr>
          <w:p>
            <w:r>
              <w:t>APPP05</w:t>
            </w:r>
          </w:p>
        </w:tc>
        <w:tc>
          <w:tcPr>
            <w:tcW w:type="dxa" w:w="1440"/>
          </w:tcPr>
          <w:p>
            <w:r>
              <w:t>11 Mar</w:t>
            </w:r>
          </w:p>
        </w:tc>
        <w:tc>
          <w:tcPr>
            <w:tcW w:type="dxa" w:w="1440"/>
          </w:tcPr>
          <w:p>
            <w:r>
              <w:t>12–13 Mar</w:t>
            </w:r>
          </w:p>
        </w:tc>
        <w:tc>
          <w:tcPr>
            <w:tcW w:type="dxa" w:w="1440"/>
          </w:tcPr>
          <w:p>
            <w:r>
              <w:t>2 days</w:t>
            </w:r>
          </w:p>
        </w:tc>
        <w:tc>
          <w:tcPr>
            <w:tcW w:type="dxa" w:w="1440"/>
          </w:tcPr>
          <w:p>
            <w:r>
              <w:t>13 Mar</w:t>
            </w:r>
          </w:p>
        </w:tc>
        <w:tc>
          <w:tcPr>
            <w:tcW w:type="dxa" w:w="1440"/>
          </w:tcPr>
          <w:p>
            <w:r>
              <w:t>Standard</w:t>
            </w:r>
          </w:p>
        </w:tc>
      </w:tr>
      <w:tr>
        <w:tc>
          <w:tcPr>
            <w:tcW w:type="dxa" w:w="1440"/>
          </w:tcPr>
          <w:p>
            <w:r>
              <w:t>APPP02 (QA)</w:t>
            </w:r>
          </w:p>
        </w:tc>
        <w:tc>
          <w:tcPr>
            <w:tcW w:type="dxa" w:w="1440"/>
          </w:tcPr>
          <w:p>
            <w:r>
              <w:t>16 Mar</w:t>
            </w:r>
          </w:p>
        </w:tc>
        <w:tc>
          <w:tcPr>
            <w:tcW w:type="dxa" w:w="1440"/>
          </w:tcPr>
          <w:p>
            <w:r>
              <w:t>17–20 Mar</w:t>
            </w:r>
          </w:p>
        </w:tc>
        <w:tc>
          <w:tcPr>
            <w:tcW w:type="dxa" w:w="1440"/>
          </w:tcPr>
          <w:p>
            <w:r>
              <w:t>5 days</w:t>
            </w:r>
          </w:p>
        </w:tc>
        <w:tc>
          <w:tcPr>
            <w:tcW w:type="dxa" w:w="1440"/>
          </w:tcPr>
          <w:p>
            <w:r>
              <w:t>20 Mar</w:t>
            </w:r>
          </w:p>
        </w:tc>
        <w:tc>
          <w:tcPr>
            <w:tcW w:type="dxa" w:w="1440"/>
          </w:tcPr>
          <w:p>
            <w:r>
              <w:t>Complex</w:t>
            </w:r>
          </w:p>
        </w:tc>
      </w:tr>
      <w:tr>
        <w:tc>
          <w:tcPr>
            <w:tcW w:type="dxa" w:w="1440"/>
          </w:tcPr>
          <w:p>
            <w:r>
              <w:t>UAT</w:t>
            </w:r>
          </w:p>
        </w:tc>
        <w:tc>
          <w:tcPr>
            <w:tcW w:type="dxa" w:w="1440"/>
          </w:tcPr>
          <w:p>
            <w:r>
              <w:t>23 Mar</w:t>
            </w:r>
          </w:p>
        </w:tc>
        <w:tc>
          <w:tcPr>
            <w:tcW w:type="dxa" w:w="1440"/>
          </w:tcPr>
          <w:p>
            <w:r>
              <w:t>24–27 Mar</w:t>
            </w:r>
          </w:p>
        </w:tc>
        <w:tc>
          <w:tcPr>
            <w:tcW w:type="dxa" w:w="1440"/>
          </w:tcPr>
          <w:p>
            <w:r>
              <w:t>5 days</w:t>
            </w:r>
          </w:p>
        </w:tc>
        <w:tc>
          <w:tcPr>
            <w:tcW w:type="dxa" w:w="1440"/>
          </w:tcPr>
          <w:p>
            <w:r>
              <w:t>27 Mar</w:t>
            </w:r>
          </w:p>
        </w:tc>
        <w:tc>
          <w:tcPr>
            <w:tcW w:type="dxa" w:w="1440"/>
          </w:tcPr>
          <w:p>
            <w:r>
              <w:t>Business validation</w:t>
            </w:r>
          </w:p>
        </w:tc>
      </w:tr>
      <w:tr>
        <w:tc>
          <w:tcPr>
            <w:tcW w:type="dxa" w:w="1440"/>
          </w:tcPr>
          <w:p>
            <w:r>
              <w:t>STAGE</w:t>
            </w:r>
          </w:p>
        </w:tc>
        <w:tc>
          <w:tcPr>
            <w:tcW w:type="dxa" w:w="1440"/>
          </w:tcPr>
          <w:p>
            <w:r>
              <w:t>30 Mar</w:t>
            </w:r>
          </w:p>
        </w:tc>
        <w:tc>
          <w:tcPr>
            <w:tcW w:type="dxa" w:w="1440"/>
          </w:tcPr>
          <w:p>
            <w:r>
              <w:t>31 Mar</w:t>
            </w:r>
          </w:p>
        </w:tc>
        <w:tc>
          <w:tcPr>
            <w:tcW w:type="dxa" w:w="1440"/>
          </w:tcPr>
          <w:p>
            <w:r>
              <w:t>2 days</w:t>
            </w:r>
          </w:p>
        </w:tc>
        <w:tc>
          <w:tcPr>
            <w:tcW w:type="dxa" w:w="1440"/>
          </w:tcPr>
          <w:p>
            <w:r>
              <w:t>31 Mar</w:t>
            </w:r>
          </w:p>
        </w:tc>
        <w:tc>
          <w:tcPr>
            <w:tcW w:type="dxa" w:w="1440"/>
          </w:tcPr>
          <w:p>
            <w:r>
              <w:t>Smoke only</w:t>
            </w:r>
          </w:p>
        </w:tc>
      </w:tr>
      <w:tr>
        <w:tc>
          <w:tcPr>
            <w:tcW w:type="dxa" w:w="1440"/>
          </w:tcPr>
          <w:p>
            <w:r>
              <w:t>PROD</w:t>
            </w:r>
          </w:p>
        </w:tc>
        <w:tc>
          <w:tcPr>
            <w:tcW w:type="dxa" w:w="1440"/>
          </w:tcPr>
          <w:p>
            <w:r>
              <w:t>6 Apr</w:t>
            </w:r>
          </w:p>
        </w:tc>
        <w:tc>
          <w:tcPr>
            <w:tcW w:type="dxa" w:w="1440"/>
          </w:tcPr>
          <w:p>
            <w:r>
              <w:t>7–10 Apr</w:t>
            </w:r>
          </w:p>
        </w:tc>
        <w:tc>
          <w:tcPr>
            <w:tcW w:type="dxa" w:w="1440"/>
          </w:tcPr>
          <w:p>
            <w:r>
              <w:t>5 days</w:t>
            </w:r>
          </w:p>
        </w:tc>
        <w:tc>
          <w:tcPr>
            <w:tcW w:type="dxa" w:w="1440"/>
          </w:tcPr>
          <w:p>
            <w:r>
              <w:t>10 Apr</w:t>
            </w:r>
          </w:p>
        </w:tc>
        <w:tc>
          <w:tcPr>
            <w:tcW w:type="dxa" w:w="1440"/>
          </w:tcPr>
          <w:p>
            <w:r>
              <w:t>Governance window</w:t>
            </w:r>
          </w:p>
        </w:tc>
      </w:tr>
    </w:tbl>
    <w:p>
      <w:pPr>
        <w:pStyle w:val="Heading2"/>
      </w:pPr>
      <w:r>
        <w:t>6. Service Mapping – VSI to OpenShift</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Environment</w:t>
            </w:r>
          </w:p>
        </w:tc>
        <w:tc>
          <w:tcPr>
            <w:tcW w:type="dxa" w:w="1440"/>
          </w:tcPr>
          <w:p>
            <w:r>
              <w:t>Current VSI Target</w:t>
            </w:r>
          </w:p>
        </w:tc>
        <w:tc>
          <w:tcPr>
            <w:tcW w:type="dxa" w:w="1440"/>
          </w:tcPr>
          <w:p>
            <w:r>
              <w:t>OpenShift Namespace</w:t>
            </w:r>
          </w:p>
        </w:tc>
        <w:tc>
          <w:tcPr>
            <w:tcW w:type="dxa" w:w="1440"/>
          </w:tcPr>
          <w:p>
            <w:r>
              <w:t>OpenShift Service</w:t>
            </w:r>
          </w:p>
        </w:tc>
        <w:tc>
          <w:tcPr>
            <w:tcW w:type="dxa" w:w="1440"/>
          </w:tcPr>
          <w:p>
            <w:r>
              <w:t>OpenShift Route</w:t>
            </w:r>
          </w:p>
        </w:tc>
        <w:tc>
          <w:tcPr>
            <w:tcW w:type="dxa" w:w="1440"/>
          </w:tcPr>
          <w:p>
            <w:r>
              <w:t>Status</w:t>
            </w:r>
          </w:p>
        </w:tc>
      </w:tr>
      <w:tr>
        <w:tc>
          <w:tcPr>
            <w:tcW w:type="dxa" w:w="1440"/>
          </w:tcPr>
          <w:p>
            <w:r>
              <w:t>APPP07</w:t>
            </w:r>
          </w:p>
        </w:tc>
        <w:tc>
          <w:tcPr>
            <w:tcW w:type="dxa" w:w="1440"/>
          </w:tcPr>
          <w:p>
            <w:r>
              <w:t>vsi-app07.internal</w:t>
            </w:r>
          </w:p>
        </w:tc>
        <w:tc>
          <w:tcPr>
            <w:tcW w:type="dxa" w:w="1440"/>
          </w:tcPr>
          <w:p>
            <w:r>
              <w:t>ns-dev</w:t>
            </w:r>
          </w:p>
        </w:tc>
        <w:tc>
          <w:tcPr>
            <w:tcW w:type="dxa" w:w="1440"/>
          </w:tcPr>
          <w:p>
            <w:r>
              <w:t>svc-cidp</w:t>
            </w:r>
          </w:p>
        </w:tc>
        <w:tc>
          <w:tcPr>
            <w:tcW w:type="dxa" w:w="1440"/>
          </w:tcPr>
          <w:p>
            <w:r>
              <w:t>route-app07</w:t>
            </w:r>
          </w:p>
        </w:tc>
        <w:tc>
          <w:tcPr>
            <w:tcW w:type="dxa" w:w="1440"/>
          </w:tcPr>
          <w:p>
            <w:r>
              <w:t>Migrated</w:t>
            </w:r>
          </w:p>
        </w:tc>
      </w:tr>
      <w:tr>
        <w:tc>
          <w:tcPr>
            <w:tcW w:type="dxa" w:w="1440"/>
          </w:tcPr>
          <w:p>
            <w:r>
              <w:t>APPP06</w:t>
            </w:r>
          </w:p>
        </w:tc>
        <w:tc>
          <w:tcPr>
            <w:tcW w:type="dxa" w:w="1440"/>
          </w:tcPr>
          <w:p>
            <w:r>
              <w:t>vsi-app06.internal</w:t>
            </w:r>
          </w:p>
        </w:tc>
        <w:tc>
          <w:tcPr>
            <w:tcW w:type="dxa" w:w="1440"/>
          </w:tcPr>
          <w:p>
            <w:r>
              <w:t>ns-dev</w:t>
            </w:r>
          </w:p>
        </w:tc>
        <w:tc>
          <w:tcPr>
            <w:tcW w:type="dxa" w:w="1440"/>
          </w:tcPr>
          <w:p>
            <w:r>
              <w:t>svc-cidp</w:t>
            </w:r>
          </w:p>
        </w:tc>
        <w:tc>
          <w:tcPr>
            <w:tcW w:type="dxa" w:w="1440"/>
          </w:tcPr>
          <w:p>
            <w:r>
              <w:t>route-app06</w:t>
            </w:r>
          </w:p>
        </w:tc>
        <w:tc>
          <w:tcPr>
            <w:tcW w:type="dxa" w:w="1440"/>
          </w:tcPr>
          <w:p>
            <w:r>
              <w:t>Planned</w:t>
            </w:r>
          </w:p>
        </w:tc>
      </w:tr>
      <w:tr>
        <w:tc>
          <w:tcPr>
            <w:tcW w:type="dxa" w:w="1440"/>
          </w:tcPr>
          <w:p>
            <w:r>
              <w:t>APPP01</w:t>
            </w:r>
          </w:p>
        </w:tc>
        <w:tc>
          <w:tcPr>
            <w:tcW w:type="dxa" w:w="1440"/>
          </w:tcPr>
          <w:p>
            <w:r>
              <w:t>vsi-app01.internal</w:t>
            </w:r>
          </w:p>
        </w:tc>
        <w:tc>
          <w:tcPr>
            <w:tcW w:type="dxa" w:w="1440"/>
          </w:tcPr>
          <w:p>
            <w:r>
              <w:t>ns-dev</w:t>
            </w:r>
          </w:p>
        </w:tc>
        <w:tc>
          <w:tcPr>
            <w:tcW w:type="dxa" w:w="1440"/>
          </w:tcPr>
          <w:p>
            <w:r>
              <w:t>svc-cidp</w:t>
            </w:r>
          </w:p>
        </w:tc>
        <w:tc>
          <w:tcPr>
            <w:tcW w:type="dxa" w:w="1440"/>
          </w:tcPr>
          <w:p>
            <w:r>
              <w:t>route-app01</w:t>
            </w:r>
          </w:p>
        </w:tc>
        <w:tc>
          <w:tcPr>
            <w:tcW w:type="dxa" w:w="1440"/>
          </w:tcPr>
          <w:p>
            <w:r>
              <w:t>Planned</w:t>
            </w:r>
          </w:p>
        </w:tc>
      </w:tr>
      <w:tr>
        <w:tc>
          <w:tcPr>
            <w:tcW w:type="dxa" w:w="1440"/>
          </w:tcPr>
          <w:p>
            <w:r>
              <w:t>APPP02</w:t>
            </w:r>
          </w:p>
        </w:tc>
        <w:tc>
          <w:tcPr>
            <w:tcW w:type="dxa" w:w="1440"/>
          </w:tcPr>
          <w:p>
            <w:r>
              <w:t>vsi-app02.internal</w:t>
            </w:r>
          </w:p>
        </w:tc>
        <w:tc>
          <w:tcPr>
            <w:tcW w:type="dxa" w:w="1440"/>
          </w:tcPr>
          <w:p>
            <w:r>
              <w:t>ns-qa</w:t>
            </w:r>
          </w:p>
        </w:tc>
        <w:tc>
          <w:tcPr>
            <w:tcW w:type="dxa" w:w="1440"/>
          </w:tcPr>
          <w:p>
            <w:r>
              <w:t>svc-cidp</w:t>
            </w:r>
          </w:p>
        </w:tc>
        <w:tc>
          <w:tcPr>
            <w:tcW w:type="dxa" w:w="1440"/>
          </w:tcPr>
          <w:p>
            <w:r>
              <w:t>route-app02</w:t>
            </w:r>
          </w:p>
        </w:tc>
        <w:tc>
          <w:tcPr>
            <w:tcW w:type="dxa" w:w="1440"/>
          </w:tcPr>
          <w:p>
            <w:r>
              <w:t>Planned</w:t>
            </w:r>
          </w:p>
        </w:tc>
      </w:tr>
      <w:tr>
        <w:tc>
          <w:tcPr>
            <w:tcW w:type="dxa" w:w="1440"/>
          </w:tcPr>
          <w:p>
            <w:r>
              <w:t>UAT</w:t>
            </w:r>
          </w:p>
        </w:tc>
        <w:tc>
          <w:tcPr>
            <w:tcW w:type="dxa" w:w="1440"/>
          </w:tcPr>
          <w:p>
            <w:r>
              <w:t>vsi-uat.internal</w:t>
            </w:r>
          </w:p>
        </w:tc>
        <w:tc>
          <w:tcPr>
            <w:tcW w:type="dxa" w:w="1440"/>
          </w:tcPr>
          <w:p>
            <w:r>
              <w:t>ns-uat</w:t>
            </w:r>
          </w:p>
        </w:tc>
        <w:tc>
          <w:tcPr>
            <w:tcW w:type="dxa" w:w="1440"/>
          </w:tcPr>
          <w:p>
            <w:r>
              <w:t>svc-cidp</w:t>
            </w:r>
          </w:p>
        </w:tc>
        <w:tc>
          <w:tcPr>
            <w:tcW w:type="dxa" w:w="1440"/>
          </w:tcPr>
          <w:p>
            <w:r>
              <w:t>route-uat</w:t>
            </w:r>
          </w:p>
        </w:tc>
        <w:tc>
          <w:tcPr>
            <w:tcW w:type="dxa" w:w="1440"/>
          </w:tcPr>
          <w:p>
            <w:r>
              <w:t>Planned</w:t>
            </w:r>
          </w:p>
        </w:tc>
      </w:tr>
      <w:tr>
        <w:tc>
          <w:tcPr>
            <w:tcW w:type="dxa" w:w="1440"/>
          </w:tcPr>
          <w:p>
            <w:r>
              <w:t>PROD</w:t>
            </w:r>
          </w:p>
        </w:tc>
        <w:tc>
          <w:tcPr>
            <w:tcW w:type="dxa" w:w="1440"/>
          </w:tcPr>
          <w:p>
            <w:r>
              <w:t>vsi-prod.internal</w:t>
            </w:r>
          </w:p>
        </w:tc>
        <w:tc>
          <w:tcPr>
            <w:tcW w:type="dxa" w:w="1440"/>
          </w:tcPr>
          <w:p>
            <w:r>
              <w:t>ns-prod</w:t>
            </w:r>
          </w:p>
        </w:tc>
        <w:tc>
          <w:tcPr>
            <w:tcW w:type="dxa" w:w="1440"/>
          </w:tcPr>
          <w:p>
            <w:r>
              <w:t>svc-cidp</w:t>
            </w:r>
          </w:p>
        </w:tc>
        <w:tc>
          <w:tcPr>
            <w:tcW w:type="dxa" w:w="1440"/>
          </w:tcPr>
          <w:p>
            <w:r>
              <w:t>route-prod</w:t>
            </w:r>
          </w:p>
        </w:tc>
        <w:tc>
          <w:tcPr>
            <w:tcW w:type="dxa" w:w="1440"/>
          </w:tcPr>
          <w:p>
            <w:r>
              <w:t>Planned</w:t>
            </w:r>
          </w:p>
        </w:tc>
      </w:tr>
    </w:tbl>
    <w:p>
      <w:pPr>
        <w:pStyle w:val="Heading2"/>
      </w:pPr>
      <w:r>
        <w:t>7. Rollback Strategy</w:t>
      </w:r>
    </w:p>
    <w:p>
      <w:r>
        <w:t>If any issue occurs after migration, Apigee target can be reverted to VSI. VSI infrastructure will remain available during the validation window. Migration is considered final only after formal sign-off.</w:t>
      </w:r>
    </w:p>
    <w:p>
      <w:pPr>
        <w:pStyle w:val="Heading2"/>
      </w:pPr>
      <w:r>
        <w:t>8. Conclusion</w:t>
      </w:r>
    </w:p>
    <w:p>
      <w:r>
        <w:t>All non-production environments will be migrated before the end of Q1 2026. Production migration is scheduled for early April 2026 under governance supervision. Strict release alignment and controlled validation are key success factors.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